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9D" w:rsidRPr="00C56272" w:rsidRDefault="00B57DB0" w:rsidP="00C26686">
      <w:pPr>
        <w:ind w:firstLine="708"/>
        <w:rPr>
          <w:b/>
          <w:color w:val="0070C0"/>
        </w:rPr>
      </w:pPr>
      <w:r w:rsidRPr="00C56272">
        <w:rPr>
          <w:b/>
          <w:color w:val="0070C0"/>
        </w:rPr>
        <w:t xml:space="preserve"> </w:t>
      </w:r>
      <w:r w:rsidR="00EF0E64" w:rsidRPr="00C56272">
        <w:rPr>
          <w:b/>
          <w:color w:val="0070C0"/>
        </w:rPr>
        <w:t xml:space="preserve"> </w:t>
      </w:r>
      <w:r w:rsidR="00AA7EC1">
        <w:rPr>
          <w:b/>
          <w:color w:val="0070C0"/>
        </w:rPr>
        <w:t xml:space="preserve">    </w:t>
      </w:r>
      <w:r w:rsidR="00600BEC">
        <w:rPr>
          <w:b/>
          <w:color w:val="0070C0"/>
        </w:rPr>
        <w:t xml:space="preserve">   </w:t>
      </w:r>
      <w:r w:rsidR="00AA7EC1">
        <w:rPr>
          <w:b/>
          <w:color w:val="0070C0"/>
        </w:rPr>
        <w:t xml:space="preserve">    </w:t>
      </w:r>
      <w:r w:rsidR="00C56272">
        <w:rPr>
          <w:b/>
          <w:color w:val="0070C0"/>
        </w:rPr>
        <w:t xml:space="preserve">HOMEOPATÍA:  </w:t>
      </w:r>
      <w:r w:rsidR="00630A01">
        <w:rPr>
          <w:b/>
          <w:color w:val="0070C0"/>
        </w:rPr>
        <w:t>LO QUE QUIZÁS NO LE HAN CONTADO</w:t>
      </w:r>
    </w:p>
    <w:p w:rsidR="00A91144" w:rsidRPr="00C56272" w:rsidRDefault="00874185" w:rsidP="00EF0E64">
      <w:pPr>
        <w:jc w:val="both"/>
      </w:pPr>
      <w:r w:rsidRPr="00C56272">
        <w:t xml:space="preserve">Ante la continua campaña de </w:t>
      </w:r>
      <w:r w:rsidR="00143BA6" w:rsidRPr="00C56272">
        <w:t>DESCALIFI</w:t>
      </w:r>
      <w:r w:rsidR="00A91144" w:rsidRPr="00C56272">
        <w:t>C</w:t>
      </w:r>
      <w:r w:rsidR="00143BA6" w:rsidRPr="00C56272">
        <w:t>ACIÓN</w:t>
      </w:r>
      <w:r w:rsidRPr="00C56272">
        <w:t xml:space="preserve"> que está sufriendo la </w:t>
      </w:r>
      <w:r w:rsidR="00630A01">
        <w:t xml:space="preserve">homeopatía desde hace unos años, </w:t>
      </w:r>
      <w:r w:rsidRPr="00C56272">
        <w:t>magnificada por</w:t>
      </w:r>
      <w:r w:rsidR="0011279D" w:rsidRPr="00C56272">
        <w:t xml:space="preserve"> </w:t>
      </w:r>
      <w:r w:rsidR="003E7B3F" w:rsidRPr="00C56272">
        <w:t xml:space="preserve">la mayor parte de los </w:t>
      </w:r>
      <w:r w:rsidR="0011279D" w:rsidRPr="00C56272">
        <w:t xml:space="preserve">medios de comunicación que </w:t>
      </w:r>
      <w:r w:rsidRPr="00C56272">
        <w:t xml:space="preserve">han </w:t>
      </w:r>
      <w:r w:rsidR="00B57DB0" w:rsidRPr="00C56272">
        <w:t>hecho de</w:t>
      </w:r>
      <w:r w:rsidR="008B5E43" w:rsidRPr="00C56272">
        <w:t xml:space="preserve"> altavoz</w:t>
      </w:r>
      <w:r w:rsidRPr="00C56272">
        <w:t xml:space="preserve"> para  </w:t>
      </w:r>
      <w:r w:rsidR="00A91144" w:rsidRPr="00C56272">
        <w:t>desprestigiarla</w:t>
      </w:r>
      <w:r w:rsidRPr="00C56272">
        <w:t xml:space="preserve">, </w:t>
      </w:r>
      <w:r w:rsidR="00143BA6" w:rsidRPr="00C56272">
        <w:t xml:space="preserve">consideramos importante INFORMAR </w:t>
      </w:r>
      <w:r w:rsidR="008B5E43" w:rsidRPr="00C56272">
        <w:t xml:space="preserve">desde </w:t>
      </w:r>
      <w:r w:rsidR="00B57DB0" w:rsidRPr="00C56272">
        <w:t>el BIFAR</w:t>
      </w:r>
      <w:r w:rsidR="008B5E43" w:rsidRPr="00C56272">
        <w:t xml:space="preserve"> </w:t>
      </w:r>
      <w:r w:rsidR="00B57DB0" w:rsidRPr="00C56272">
        <w:t xml:space="preserve">sobre los siguientes </w:t>
      </w:r>
      <w:r w:rsidR="00D44D2F" w:rsidRPr="00C56272">
        <w:t>aspectos</w:t>
      </w:r>
      <w:r w:rsidR="00C56272">
        <w:t xml:space="preserve"> de esta terapéutica</w:t>
      </w:r>
      <w:r w:rsidR="00B57DB0" w:rsidRPr="00C56272">
        <w:t xml:space="preserve"> que a nuestro juicio </w:t>
      </w:r>
      <w:r w:rsidR="0065011D" w:rsidRPr="00C56272">
        <w:t>no son suficientemente conocidos:</w:t>
      </w:r>
    </w:p>
    <w:p w:rsidR="008B5E43" w:rsidRPr="00C56272" w:rsidRDefault="008B5E43" w:rsidP="00B5433A">
      <w:pPr>
        <w:pStyle w:val="Default"/>
        <w:spacing w:line="276" w:lineRule="auto"/>
        <w:jc w:val="both"/>
        <w:rPr>
          <w:color w:val="0070C0"/>
          <w:sz w:val="22"/>
          <w:szCs w:val="22"/>
        </w:rPr>
      </w:pPr>
    </w:p>
    <w:p w:rsidR="00B5433A" w:rsidRPr="00C56272" w:rsidRDefault="008B5E43" w:rsidP="00B5433A">
      <w:pPr>
        <w:pStyle w:val="Default"/>
        <w:spacing w:line="276" w:lineRule="auto"/>
        <w:jc w:val="both"/>
        <w:rPr>
          <w:color w:val="0070C0"/>
          <w:sz w:val="22"/>
          <w:szCs w:val="22"/>
        </w:rPr>
      </w:pPr>
      <w:r w:rsidRPr="00C56272">
        <w:rPr>
          <w:b/>
          <w:color w:val="auto"/>
          <w:sz w:val="22"/>
          <w:szCs w:val="22"/>
        </w:rPr>
        <w:t>1</w:t>
      </w:r>
      <w:r w:rsidR="00B57DB0" w:rsidRPr="00C56272">
        <w:rPr>
          <w:color w:val="auto"/>
          <w:sz w:val="22"/>
          <w:szCs w:val="22"/>
        </w:rPr>
        <w:t>.- La homeopatía</w:t>
      </w:r>
      <w:r w:rsidR="00B5433A" w:rsidRPr="00C56272">
        <w:rPr>
          <w:color w:val="auto"/>
          <w:sz w:val="22"/>
          <w:szCs w:val="22"/>
        </w:rPr>
        <w:t xml:space="preserve"> está </w:t>
      </w:r>
      <w:r w:rsidR="00B5433A" w:rsidRPr="00C56272">
        <w:rPr>
          <w:b/>
          <w:color w:val="auto"/>
          <w:sz w:val="22"/>
          <w:szCs w:val="22"/>
        </w:rPr>
        <w:t>incluida en los sistemas nacionales de salud</w:t>
      </w:r>
      <w:r w:rsidR="00B5433A" w:rsidRPr="00C56272">
        <w:rPr>
          <w:color w:val="auto"/>
          <w:sz w:val="22"/>
          <w:szCs w:val="22"/>
        </w:rPr>
        <w:t xml:space="preserve"> de muchos países como Brasil, Chile, India, M</w:t>
      </w:r>
      <w:r w:rsidR="008C14EB">
        <w:rPr>
          <w:color w:val="auto"/>
          <w:sz w:val="22"/>
          <w:szCs w:val="22"/>
        </w:rPr>
        <w:t>é</w:t>
      </w:r>
      <w:r w:rsidR="00B5433A" w:rsidRPr="00C56272">
        <w:rPr>
          <w:color w:val="auto"/>
          <w:sz w:val="22"/>
          <w:szCs w:val="22"/>
        </w:rPr>
        <w:t>xico, Pak</w:t>
      </w:r>
      <w:r w:rsidR="00B57DB0" w:rsidRPr="00C56272">
        <w:rPr>
          <w:color w:val="auto"/>
          <w:sz w:val="22"/>
          <w:szCs w:val="22"/>
        </w:rPr>
        <w:t>ist</w:t>
      </w:r>
      <w:r w:rsidR="008C14EB">
        <w:rPr>
          <w:color w:val="auto"/>
          <w:sz w:val="22"/>
          <w:szCs w:val="22"/>
        </w:rPr>
        <w:t>á</w:t>
      </w:r>
      <w:r w:rsidR="00B57DB0" w:rsidRPr="00C56272">
        <w:rPr>
          <w:color w:val="auto"/>
          <w:sz w:val="22"/>
          <w:szCs w:val="22"/>
        </w:rPr>
        <w:t>n, Suiza, Francia, Alemania e</w:t>
      </w:r>
      <w:r w:rsidR="00B5433A" w:rsidRPr="00C56272">
        <w:rPr>
          <w:color w:val="auto"/>
          <w:sz w:val="22"/>
          <w:szCs w:val="22"/>
        </w:rPr>
        <w:t xml:space="preserve"> Inglaterra</w:t>
      </w:r>
      <w:r w:rsidR="00B57DB0" w:rsidRPr="00C56272">
        <w:rPr>
          <w:color w:val="auto"/>
          <w:sz w:val="22"/>
          <w:szCs w:val="22"/>
        </w:rPr>
        <w:t>, y</w:t>
      </w:r>
      <w:r w:rsidR="00B5433A" w:rsidRPr="00C56272">
        <w:rPr>
          <w:color w:val="0070C0"/>
          <w:sz w:val="22"/>
          <w:szCs w:val="22"/>
        </w:rPr>
        <w:t xml:space="preserve">  </w:t>
      </w:r>
      <w:r w:rsidR="00B57DB0" w:rsidRPr="00C56272">
        <w:rPr>
          <w:color w:val="auto"/>
          <w:sz w:val="22"/>
          <w:szCs w:val="22"/>
        </w:rPr>
        <w:t>es la medicina complementaria más practicada en Europa.</w:t>
      </w:r>
    </w:p>
    <w:p w:rsidR="008B5E43" w:rsidRPr="00C56272" w:rsidRDefault="008B5E43" w:rsidP="00B5433A">
      <w:pPr>
        <w:pStyle w:val="Default"/>
        <w:spacing w:line="276" w:lineRule="auto"/>
        <w:jc w:val="both"/>
        <w:rPr>
          <w:color w:val="auto"/>
          <w:sz w:val="22"/>
          <w:szCs w:val="22"/>
        </w:rPr>
      </w:pPr>
    </w:p>
    <w:p w:rsidR="0012100E" w:rsidRDefault="0012100E" w:rsidP="008B5E43">
      <w:pPr>
        <w:pStyle w:val="Default"/>
        <w:spacing w:line="276" w:lineRule="auto"/>
        <w:jc w:val="both"/>
        <w:rPr>
          <w:sz w:val="22"/>
          <w:szCs w:val="22"/>
        </w:rPr>
      </w:pPr>
      <w:r w:rsidRPr="00C56272">
        <w:rPr>
          <w:b/>
          <w:bCs/>
          <w:sz w:val="22"/>
          <w:szCs w:val="22"/>
        </w:rPr>
        <w:t>2</w:t>
      </w:r>
      <w:r w:rsidRPr="00C56272">
        <w:rPr>
          <w:sz w:val="22"/>
          <w:szCs w:val="22"/>
        </w:rPr>
        <w:t xml:space="preserve">.-El Comité Europeo de Normalización (CEN) regula en </w:t>
      </w:r>
      <w:r w:rsidR="0065011D" w:rsidRPr="00C56272">
        <w:rPr>
          <w:sz w:val="22"/>
          <w:szCs w:val="22"/>
        </w:rPr>
        <w:t>su norma</w:t>
      </w:r>
      <w:r w:rsidRPr="00C56272">
        <w:rPr>
          <w:sz w:val="22"/>
          <w:szCs w:val="22"/>
        </w:rPr>
        <w:t xml:space="preserve"> </w:t>
      </w:r>
      <w:r w:rsidR="0065011D" w:rsidRPr="00C56272">
        <w:rPr>
          <w:sz w:val="22"/>
          <w:szCs w:val="22"/>
        </w:rPr>
        <w:t xml:space="preserve">UNE-EN 16872:2016 </w:t>
      </w:r>
      <w:r w:rsidRPr="00C56272">
        <w:rPr>
          <w:sz w:val="22"/>
          <w:szCs w:val="22"/>
        </w:rPr>
        <w:t xml:space="preserve">los “requisitos para la prestación de asistencia sanitaria por médicos con cualificación adicional en homeopatía” </w:t>
      </w:r>
      <w:r w:rsidR="0065011D" w:rsidRPr="00C56272">
        <w:rPr>
          <w:sz w:val="22"/>
          <w:szCs w:val="22"/>
        </w:rPr>
        <w:t>. Esta</w:t>
      </w:r>
      <w:r w:rsidRPr="00C56272">
        <w:rPr>
          <w:sz w:val="22"/>
          <w:szCs w:val="22"/>
        </w:rPr>
        <w:t xml:space="preserve"> norma </w:t>
      </w:r>
      <w:r w:rsidR="0065011D" w:rsidRPr="00C56272">
        <w:rPr>
          <w:sz w:val="22"/>
          <w:szCs w:val="22"/>
        </w:rPr>
        <w:t>fue</w:t>
      </w:r>
      <w:r w:rsidRPr="00C56272">
        <w:rPr>
          <w:sz w:val="22"/>
          <w:szCs w:val="22"/>
        </w:rPr>
        <w:t xml:space="preserve"> ratificada por AENOR en diciembre de 2016 y también </w:t>
      </w:r>
      <w:r w:rsidRPr="00C56272">
        <w:rPr>
          <w:b/>
          <w:bCs/>
          <w:sz w:val="22"/>
          <w:szCs w:val="22"/>
        </w:rPr>
        <w:t>ratificada como norma española por resolución del 9 de Enero de 2017</w:t>
      </w:r>
      <w:r w:rsidRPr="00C56272">
        <w:rPr>
          <w:sz w:val="22"/>
          <w:szCs w:val="22"/>
        </w:rPr>
        <w:t xml:space="preserve">. </w:t>
      </w:r>
      <w:r w:rsidR="00340F68" w:rsidRPr="00340F68">
        <w:rPr>
          <w:color w:val="00B0F0"/>
          <w:sz w:val="22"/>
          <w:szCs w:val="22"/>
        </w:rPr>
        <w:t>(1</w:t>
      </w:r>
      <w:r w:rsidR="00340F68">
        <w:rPr>
          <w:sz w:val="22"/>
          <w:szCs w:val="22"/>
        </w:rPr>
        <w:t>)</w:t>
      </w:r>
    </w:p>
    <w:p w:rsidR="00BD4B03" w:rsidRDefault="00BD4B03" w:rsidP="008B5E43">
      <w:pPr>
        <w:pStyle w:val="Default"/>
        <w:spacing w:line="276" w:lineRule="auto"/>
        <w:jc w:val="both"/>
        <w:rPr>
          <w:sz w:val="22"/>
          <w:szCs w:val="22"/>
        </w:rPr>
      </w:pPr>
    </w:p>
    <w:p w:rsidR="00BD4B03" w:rsidRPr="00C56272" w:rsidRDefault="00BD4B03" w:rsidP="008B5E43">
      <w:pPr>
        <w:pStyle w:val="Default"/>
        <w:spacing w:line="276" w:lineRule="auto"/>
        <w:jc w:val="both"/>
        <w:rPr>
          <w:sz w:val="22"/>
          <w:szCs w:val="22"/>
        </w:rPr>
      </w:pPr>
      <w:r>
        <w:rPr>
          <w:sz w:val="22"/>
          <w:szCs w:val="22"/>
        </w:rPr>
        <w:t xml:space="preserve">Esta norma </w:t>
      </w:r>
      <w:r>
        <w:rPr>
          <w:sz w:val="23"/>
          <w:szCs w:val="23"/>
        </w:rPr>
        <w:t>detalla los requerimientos básicos del Programa de Formación Homeopática (</w:t>
      </w:r>
      <w:proofErr w:type="spellStart"/>
      <w:r>
        <w:rPr>
          <w:sz w:val="23"/>
          <w:szCs w:val="23"/>
        </w:rPr>
        <w:t>Homeopathic</w:t>
      </w:r>
      <w:proofErr w:type="spellEnd"/>
      <w:r>
        <w:rPr>
          <w:sz w:val="23"/>
          <w:szCs w:val="23"/>
        </w:rPr>
        <w:t xml:space="preserve"> </w:t>
      </w:r>
      <w:proofErr w:type="spellStart"/>
      <w:r>
        <w:rPr>
          <w:sz w:val="23"/>
          <w:szCs w:val="23"/>
        </w:rPr>
        <w:t>Education</w:t>
      </w:r>
      <w:proofErr w:type="spellEnd"/>
      <w:r>
        <w:rPr>
          <w:sz w:val="23"/>
          <w:szCs w:val="23"/>
        </w:rPr>
        <w:t xml:space="preserve"> </w:t>
      </w:r>
      <w:proofErr w:type="spellStart"/>
      <w:r>
        <w:rPr>
          <w:sz w:val="23"/>
          <w:szCs w:val="23"/>
        </w:rPr>
        <w:t>Programme</w:t>
      </w:r>
      <w:proofErr w:type="spellEnd"/>
      <w:r>
        <w:rPr>
          <w:sz w:val="23"/>
          <w:szCs w:val="23"/>
        </w:rPr>
        <w:t>), incluyendo los requisitos de admisión, el programa de educación, los resultados del aprendizaje y exámenes, así como los requisitos de buenas prácticas.</w:t>
      </w:r>
    </w:p>
    <w:p w:rsidR="008B5E43" w:rsidRPr="00C56272" w:rsidRDefault="008B5E43" w:rsidP="0012100E">
      <w:pPr>
        <w:autoSpaceDE w:val="0"/>
        <w:autoSpaceDN w:val="0"/>
        <w:adjustRightInd w:val="0"/>
        <w:spacing w:after="0"/>
        <w:jc w:val="both"/>
      </w:pPr>
    </w:p>
    <w:p w:rsidR="0012100E" w:rsidRPr="00C56272" w:rsidRDefault="0012100E" w:rsidP="0012100E">
      <w:pPr>
        <w:autoSpaceDE w:val="0"/>
        <w:autoSpaceDN w:val="0"/>
        <w:adjustRightInd w:val="0"/>
        <w:spacing w:after="0"/>
        <w:jc w:val="both"/>
      </w:pPr>
      <w:r w:rsidRPr="00C56272">
        <w:rPr>
          <w:b/>
        </w:rPr>
        <w:t>3</w:t>
      </w:r>
      <w:r w:rsidRPr="00C56272">
        <w:t>.- La Comisión de Ética y Deontología de la O</w:t>
      </w:r>
      <w:r w:rsidR="0065011D" w:rsidRPr="00C56272">
        <w:t xml:space="preserve">rganización </w:t>
      </w:r>
      <w:r w:rsidRPr="00C56272">
        <w:t>M</w:t>
      </w:r>
      <w:r w:rsidR="0065011D" w:rsidRPr="00C56272">
        <w:t xml:space="preserve">édica </w:t>
      </w:r>
      <w:r w:rsidRPr="00C56272">
        <w:t>C</w:t>
      </w:r>
      <w:r w:rsidR="0065011D" w:rsidRPr="00C56272">
        <w:t xml:space="preserve">olegial (OMC)  en 2007, </w:t>
      </w:r>
      <w:r w:rsidRPr="00C56272">
        <w:t xml:space="preserve"> y la Asamblea de Presi</w:t>
      </w:r>
      <w:r w:rsidR="0065011D" w:rsidRPr="00C56272">
        <w:t>dentes  de Colegios de Médicos en 2009</w:t>
      </w:r>
      <w:r w:rsidRPr="00C56272">
        <w:t xml:space="preserve"> declararon  la homeopatía como Acto Médico, que habrá de ser realizado por personal cualificado en centros sanitarios debidamente autorizados. </w:t>
      </w:r>
      <w:r w:rsidRPr="00C56272">
        <w:rPr>
          <w:rFonts w:eastAsia="Calibri"/>
        </w:rPr>
        <w:t>El Cons</w:t>
      </w:r>
      <w:r w:rsidR="008B5E43" w:rsidRPr="00C56272">
        <w:rPr>
          <w:rFonts w:eastAsia="Calibri"/>
        </w:rPr>
        <w:t>ejo General de Colegios Médicos</w:t>
      </w:r>
      <w:r w:rsidRPr="00C56272">
        <w:rPr>
          <w:rFonts w:eastAsia="Calibri"/>
        </w:rPr>
        <w:t>,</w:t>
      </w:r>
      <w:r w:rsidR="0065011D" w:rsidRPr="00C56272">
        <w:rPr>
          <w:rFonts w:eastAsia="Calibri"/>
        </w:rPr>
        <w:t xml:space="preserve"> en el año 2004, </w:t>
      </w:r>
      <w:r w:rsidRPr="00C56272">
        <w:rPr>
          <w:rFonts w:eastAsia="Calibri"/>
        </w:rPr>
        <w:t xml:space="preserve">estableció el Baremo para la acreditación de Médicos Homeópatas. </w:t>
      </w:r>
    </w:p>
    <w:p w:rsidR="0012100E" w:rsidRPr="00C56272" w:rsidRDefault="0012100E" w:rsidP="0012100E">
      <w:pPr>
        <w:pStyle w:val="Default"/>
        <w:spacing w:line="276" w:lineRule="auto"/>
        <w:jc w:val="both"/>
        <w:rPr>
          <w:color w:val="auto"/>
          <w:sz w:val="22"/>
          <w:szCs w:val="22"/>
        </w:rPr>
      </w:pPr>
    </w:p>
    <w:p w:rsidR="0012100E" w:rsidRPr="00C56272" w:rsidRDefault="0012100E" w:rsidP="0012100E">
      <w:pPr>
        <w:pStyle w:val="Default"/>
        <w:spacing w:line="276" w:lineRule="auto"/>
        <w:jc w:val="both"/>
        <w:rPr>
          <w:color w:val="auto"/>
          <w:sz w:val="22"/>
          <w:szCs w:val="22"/>
        </w:rPr>
      </w:pPr>
      <w:r w:rsidRPr="00C56272">
        <w:rPr>
          <w:color w:val="auto"/>
          <w:sz w:val="22"/>
          <w:szCs w:val="22"/>
        </w:rPr>
        <w:t>El Tribunal Supremo en sentencia de 2011 estableció que la Homeopatía, la Acupuntura y la Medicina Naturista son Acto Médico en España. De igual forma se pronunció el Tribunal Superior de Justicia de Cataluña en dos sentencias en 2007 y 2009.</w:t>
      </w:r>
    </w:p>
    <w:p w:rsidR="0012100E" w:rsidRPr="00C56272" w:rsidRDefault="0012100E" w:rsidP="00B5433A">
      <w:pPr>
        <w:pStyle w:val="Default"/>
        <w:jc w:val="both"/>
        <w:rPr>
          <w:color w:val="0070C0"/>
          <w:sz w:val="22"/>
          <w:szCs w:val="22"/>
        </w:rPr>
      </w:pPr>
    </w:p>
    <w:p w:rsidR="000550FD" w:rsidRPr="00C56272" w:rsidRDefault="000550FD" w:rsidP="00B5433A">
      <w:pPr>
        <w:pStyle w:val="Default"/>
        <w:jc w:val="both"/>
        <w:rPr>
          <w:color w:val="0070C0"/>
          <w:sz w:val="22"/>
          <w:szCs w:val="22"/>
        </w:rPr>
      </w:pPr>
    </w:p>
    <w:p w:rsidR="00B5433A" w:rsidRPr="00C56272" w:rsidRDefault="000550FD" w:rsidP="00B5433A">
      <w:pPr>
        <w:pStyle w:val="Default"/>
        <w:spacing w:line="276" w:lineRule="auto"/>
        <w:jc w:val="both"/>
        <w:rPr>
          <w:color w:val="auto"/>
          <w:sz w:val="22"/>
          <w:szCs w:val="22"/>
        </w:rPr>
      </w:pPr>
      <w:r w:rsidRPr="00C56272">
        <w:rPr>
          <w:b/>
          <w:color w:val="auto"/>
          <w:sz w:val="22"/>
          <w:szCs w:val="22"/>
        </w:rPr>
        <w:t>4</w:t>
      </w:r>
      <w:r w:rsidR="00B5433A" w:rsidRPr="00C56272">
        <w:rPr>
          <w:color w:val="auto"/>
          <w:sz w:val="22"/>
          <w:szCs w:val="22"/>
        </w:rPr>
        <w:t>.-</w:t>
      </w:r>
      <w:r w:rsidR="0012100E" w:rsidRPr="00C56272">
        <w:rPr>
          <w:color w:val="auto"/>
          <w:sz w:val="22"/>
          <w:szCs w:val="22"/>
        </w:rPr>
        <w:t>Existen Farmacopeas H</w:t>
      </w:r>
      <w:r w:rsidR="00B5433A" w:rsidRPr="00C56272">
        <w:rPr>
          <w:color w:val="auto"/>
          <w:sz w:val="22"/>
          <w:szCs w:val="22"/>
        </w:rPr>
        <w:t xml:space="preserve">omeopáticas oficiales </w:t>
      </w:r>
      <w:r w:rsidR="0012100E" w:rsidRPr="00C56272">
        <w:rPr>
          <w:color w:val="auto"/>
          <w:sz w:val="22"/>
          <w:szCs w:val="22"/>
        </w:rPr>
        <w:t>en</w:t>
      </w:r>
      <w:r w:rsidR="00B5433A" w:rsidRPr="00C56272">
        <w:rPr>
          <w:color w:val="auto"/>
          <w:sz w:val="22"/>
          <w:szCs w:val="22"/>
        </w:rPr>
        <w:t xml:space="preserve"> Francia, Alemania, Suiza, EEUU, Brasil, </w:t>
      </w:r>
      <w:r w:rsidR="0012100E" w:rsidRPr="00C56272">
        <w:rPr>
          <w:color w:val="auto"/>
          <w:sz w:val="22"/>
          <w:szCs w:val="22"/>
        </w:rPr>
        <w:t xml:space="preserve">India y </w:t>
      </w:r>
      <w:r w:rsidR="00B5433A" w:rsidRPr="00C56272">
        <w:rPr>
          <w:color w:val="auto"/>
          <w:sz w:val="22"/>
          <w:szCs w:val="22"/>
        </w:rPr>
        <w:t>México,</w:t>
      </w:r>
      <w:r w:rsidR="0012100E" w:rsidRPr="00C56272">
        <w:rPr>
          <w:color w:val="auto"/>
          <w:sz w:val="22"/>
          <w:szCs w:val="22"/>
        </w:rPr>
        <w:t xml:space="preserve"> reconocidas por los gobiernos de dichos países. La Dirección General de Calidad de la Comisión E</w:t>
      </w:r>
      <w:r w:rsidR="0065011D" w:rsidRPr="00C56272">
        <w:rPr>
          <w:color w:val="auto"/>
          <w:sz w:val="22"/>
          <w:szCs w:val="22"/>
        </w:rPr>
        <w:t>uropea es la responsable de la e</w:t>
      </w:r>
      <w:r w:rsidR="0012100E" w:rsidRPr="00C56272">
        <w:rPr>
          <w:color w:val="auto"/>
          <w:sz w:val="22"/>
          <w:szCs w:val="22"/>
        </w:rPr>
        <w:t xml:space="preserve">dición de la </w:t>
      </w:r>
      <w:r w:rsidR="002607A0" w:rsidRPr="00C56272">
        <w:rPr>
          <w:color w:val="auto"/>
          <w:sz w:val="22"/>
          <w:szCs w:val="22"/>
        </w:rPr>
        <w:t>Farmacopea Europea, donde se recoge toda la normativa referente a la preparación y calidad del medicamento homeopático.</w:t>
      </w:r>
      <w:r w:rsidR="00B5433A" w:rsidRPr="00C56272">
        <w:rPr>
          <w:color w:val="auto"/>
          <w:sz w:val="22"/>
          <w:szCs w:val="22"/>
        </w:rPr>
        <w:t xml:space="preserve"> </w:t>
      </w:r>
    </w:p>
    <w:p w:rsidR="00B5433A" w:rsidRPr="00C56272" w:rsidRDefault="00B5433A" w:rsidP="00B5433A">
      <w:pPr>
        <w:autoSpaceDE w:val="0"/>
        <w:autoSpaceDN w:val="0"/>
        <w:adjustRightInd w:val="0"/>
        <w:spacing w:after="0"/>
        <w:jc w:val="both"/>
      </w:pPr>
    </w:p>
    <w:p w:rsidR="008B5E43" w:rsidRPr="00C56272" w:rsidRDefault="008B5E43" w:rsidP="00B5433A">
      <w:pPr>
        <w:autoSpaceDE w:val="0"/>
        <w:autoSpaceDN w:val="0"/>
        <w:adjustRightInd w:val="0"/>
        <w:spacing w:after="0"/>
        <w:jc w:val="both"/>
      </w:pPr>
    </w:p>
    <w:p w:rsidR="00B5433A" w:rsidRPr="00C56272" w:rsidRDefault="002607A0" w:rsidP="00B5433A">
      <w:pPr>
        <w:autoSpaceDE w:val="0"/>
        <w:autoSpaceDN w:val="0"/>
        <w:adjustRightInd w:val="0"/>
        <w:spacing w:after="0"/>
        <w:jc w:val="both"/>
      </w:pPr>
      <w:r w:rsidRPr="00C56272">
        <w:rPr>
          <w:b/>
        </w:rPr>
        <w:t>5</w:t>
      </w:r>
      <w:r w:rsidR="00B5433A" w:rsidRPr="00C56272">
        <w:t>.-</w:t>
      </w:r>
      <w:r w:rsidR="00B5433A" w:rsidRPr="00C56272">
        <w:rPr>
          <w:b/>
          <w:u w:val="single"/>
        </w:rPr>
        <w:t xml:space="preserve">Los medicamentos homeopáticos son </w:t>
      </w:r>
      <w:r w:rsidR="00127D22">
        <w:rPr>
          <w:b/>
          <w:u w:val="single"/>
        </w:rPr>
        <w:t>MEDICAMENTOS</w:t>
      </w:r>
      <w:r w:rsidR="00B5433A" w:rsidRPr="00C56272">
        <w:t xml:space="preserve"> en virtud no solo de  la legislación esp</w:t>
      </w:r>
      <w:r w:rsidR="0065011D" w:rsidRPr="00C56272">
        <w:t>añola son también de la europea</w:t>
      </w:r>
      <w:r w:rsidR="00BF265D">
        <w:t xml:space="preserve"> (</w:t>
      </w:r>
      <w:r w:rsidR="00340F68">
        <w:rPr>
          <w:color w:val="3366FF"/>
        </w:rPr>
        <w:t>2</w:t>
      </w:r>
      <w:r w:rsidR="00BF265D">
        <w:t>)</w:t>
      </w:r>
      <w:r w:rsidR="00B5433A" w:rsidRPr="00C56272">
        <w:t xml:space="preserve">. </w:t>
      </w:r>
      <w:r w:rsidRPr="00C56272">
        <w:t xml:space="preserve">De hecho, el Ministerio de Sanidad, Consumo y Bienestar Social ha creado el marco jurídico </w:t>
      </w:r>
      <w:r w:rsidR="007E73D5" w:rsidRPr="00C56272">
        <w:t>p</w:t>
      </w:r>
      <w:r w:rsidRPr="00C56272">
        <w:t>ara que se concluya el proceso de regulación a través de su autorización de registro.</w:t>
      </w:r>
    </w:p>
    <w:p w:rsidR="0065011D" w:rsidRPr="00C56272" w:rsidRDefault="0065011D" w:rsidP="00B5433A">
      <w:pPr>
        <w:autoSpaceDE w:val="0"/>
        <w:autoSpaceDN w:val="0"/>
        <w:adjustRightInd w:val="0"/>
        <w:spacing w:after="0"/>
        <w:jc w:val="both"/>
      </w:pPr>
    </w:p>
    <w:p w:rsidR="007E73D5" w:rsidRPr="00C56272" w:rsidRDefault="007E73D5" w:rsidP="00B5433A">
      <w:pPr>
        <w:autoSpaceDE w:val="0"/>
        <w:autoSpaceDN w:val="0"/>
        <w:adjustRightInd w:val="0"/>
        <w:spacing w:after="0"/>
        <w:jc w:val="both"/>
      </w:pPr>
      <w:r w:rsidRPr="00C56272">
        <w:t>Como medicamentos que son, se dispensan exclusivamente en farmacias.</w:t>
      </w:r>
    </w:p>
    <w:p w:rsidR="007E73D5" w:rsidRPr="00C56272" w:rsidRDefault="007E73D5" w:rsidP="00B5433A">
      <w:pPr>
        <w:autoSpaceDE w:val="0"/>
        <w:autoSpaceDN w:val="0"/>
        <w:adjustRightInd w:val="0"/>
        <w:spacing w:after="0"/>
        <w:jc w:val="both"/>
      </w:pPr>
    </w:p>
    <w:p w:rsidR="00630A01" w:rsidRDefault="00630A01" w:rsidP="002D6A33">
      <w:pPr>
        <w:jc w:val="both"/>
      </w:pPr>
    </w:p>
    <w:p w:rsidR="00630A01" w:rsidRDefault="00630A01" w:rsidP="002D6A33">
      <w:pPr>
        <w:jc w:val="both"/>
      </w:pPr>
    </w:p>
    <w:p w:rsidR="00BD4B03" w:rsidRPr="00052084" w:rsidRDefault="00BD4B03" w:rsidP="002D6A33">
      <w:pPr>
        <w:jc w:val="both"/>
      </w:pPr>
      <w:r w:rsidRPr="00052084">
        <w:t>La Directiva 2001/83/CE exige que “</w:t>
      </w:r>
      <w:r w:rsidRPr="00052084">
        <w:rPr>
          <w:i/>
          <w:color w:val="0070C0"/>
        </w:rPr>
        <w:t>tanto los medicamentos convencionales como los homeopáticos se sometan al mismo control en términos de fabricación, distribución y vigilancia farmacológica, y establece disposiciones de seguridad específicas para los medicamentos homeopáticos sin declaración de propiedades terapéuticas</w:t>
      </w:r>
      <w:r w:rsidRPr="00052084">
        <w:t xml:space="preserve">”. Esta misma directiva </w:t>
      </w:r>
      <w:r w:rsidRPr="00052084">
        <w:rPr>
          <w:b/>
        </w:rPr>
        <w:t xml:space="preserve">especifica la información que se puede usar para anunciar dichos medicamentos homeopáticos </w:t>
      </w:r>
      <w:r w:rsidRPr="00052084">
        <w:t>y no permite el uso de información relativa a su eficacia clínica.</w:t>
      </w:r>
    </w:p>
    <w:p w:rsidR="00BD4B03" w:rsidRPr="00BD4B03" w:rsidRDefault="00BD4B03" w:rsidP="002D6A33">
      <w:pPr>
        <w:jc w:val="both"/>
        <w:rPr>
          <w:sz w:val="16"/>
          <w:szCs w:val="16"/>
        </w:rPr>
      </w:pPr>
    </w:p>
    <w:p w:rsidR="007E73D5" w:rsidRPr="004A6703" w:rsidRDefault="007E73D5" w:rsidP="002D6A33">
      <w:pPr>
        <w:jc w:val="both"/>
      </w:pPr>
      <w:r w:rsidRPr="00C56272">
        <w:t xml:space="preserve">Por tanto, </w:t>
      </w:r>
      <w:r w:rsidR="0065011D" w:rsidRPr="00C56272">
        <w:t>si se considera a</w:t>
      </w:r>
      <w:r w:rsidRPr="00C56272">
        <w:t xml:space="preserve"> la homeopatía como “</w:t>
      </w:r>
      <w:proofErr w:type="spellStart"/>
      <w:r w:rsidRPr="00C56272">
        <w:t>pseudoterapia</w:t>
      </w:r>
      <w:proofErr w:type="spellEnd"/>
      <w:r w:rsidR="0065011D" w:rsidRPr="00C56272">
        <w:t xml:space="preserve">”, se </w:t>
      </w:r>
      <w:r w:rsidR="00630A01">
        <w:t>incurre en</w:t>
      </w:r>
      <w:r w:rsidR="00632439" w:rsidRPr="00C56272">
        <w:t xml:space="preserve"> </w:t>
      </w:r>
      <w:r w:rsidRPr="00C56272">
        <w:t xml:space="preserve"> una contradicción insalvable, pues EL ORDENAMIENTO JURÍDICO EUROPEO Y ESPAÑOL ESTABLECE LA </w:t>
      </w:r>
      <w:r w:rsidRPr="00C56272">
        <w:rPr>
          <w:b/>
        </w:rPr>
        <w:t>CALIFICACIÓN DE MEDICAMENTO,</w:t>
      </w:r>
      <w:r w:rsidRPr="00C56272">
        <w:t xml:space="preserve"> </w:t>
      </w:r>
      <w:r w:rsidRPr="00C56272">
        <w:rPr>
          <w:b/>
        </w:rPr>
        <w:t>LO QUE CONLLEVA EL RECONOCIMIENTO IMPLÍCITO DE SUS PROPIEDADES TERAPÉUTICAS</w:t>
      </w:r>
      <w:r w:rsidRPr="00C56272">
        <w:t xml:space="preserve"> </w:t>
      </w:r>
      <w:r w:rsidR="00632439" w:rsidRPr="004A6703">
        <w:rPr>
          <w:color w:val="000090"/>
        </w:rPr>
        <w:t>(</w:t>
      </w:r>
      <w:r w:rsidR="00340F68">
        <w:rPr>
          <w:color w:val="0000FF"/>
        </w:rPr>
        <w:t>3-4</w:t>
      </w:r>
      <w:r w:rsidR="004A6703" w:rsidRPr="004A6703">
        <w:rPr>
          <w:color w:val="000090"/>
        </w:rPr>
        <w:t>)</w:t>
      </w:r>
      <w:r w:rsidR="004A6703">
        <w:rPr>
          <w:i/>
          <w:color w:val="0070C0"/>
        </w:rPr>
        <w:t>.</w:t>
      </w:r>
    </w:p>
    <w:p w:rsidR="00B5433A" w:rsidRPr="00C56272" w:rsidRDefault="00B5433A" w:rsidP="00B5433A">
      <w:pPr>
        <w:autoSpaceDE w:val="0"/>
        <w:autoSpaceDN w:val="0"/>
        <w:adjustRightInd w:val="0"/>
        <w:spacing w:after="0" w:line="240" w:lineRule="auto"/>
        <w:jc w:val="both"/>
        <w:rPr>
          <w:color w:val="FF0000"/>
        </w:rPr>
      </w:pPr>
    </w:p>
    <w:p w:rsidR="00B5433A" w:rsidRPr="00C56272" w:rsidRDefault="00B5433A" w:rsidP="00B5433A">
      <w:pPr>
        <w:spacing w:after="0"/>
        <w:jc w:val="both"/>
        <w:rPr>
          <w:rFonts w:eastAsia="Times New Roman" w:cs="Arial"/>
          <w:lang w:eastAsia="es-ES"/>
        </w:rPr>
      </w:pPr>
      <w:r w:rsidRPr="00C56272">
        <w:rPr>
          <w:rFonts w:ascii="Calibri" w:eastAsia="Times New Roman" w:hAnsi="Calibri" w:cs="Arial"/>
          <w:b/>
          <w:lang w:eastAsia="es-ES"/>
        </w:rPr>
        <w:t>El REAL DECRETO LEGISLATIVO 1/2015</w:t>
      </w:r>
      <w:r w:rsidRPr="00C56272">
        <w:rPr>
          <w:rFonts w:ascii="Calibri" w:eastAsia="Times New Roman" w:hAnsi="Calibri" w:cs="Arial"/>
          <w:lang w:eastAsia="es-ES"/>
        </w:rPr>
        <w:t xml:space="preserve">, por el que se aprueba el texto refundido de la Ley de Garantías y Uso Racional de los Medicamentos y Productos Sanitarios </w:t>
      </w:r>
      <w:r w:rsidR="002D6A33" w:rsidRPr="00C56272">
        <w:rPr>
          <w:rFonts w:eastAsia="Times New Roman" w:cs="Arial"/>
          <w:lang w:eastAsia="es-ES"/>
        </w:rPr>
        <w:t xml:space="preserve">incluye </w:t>
      </w:r>
      <w:r w:rsidR="00632439" w:rsidRPr="00C56272">
        <w:rPr>
          <w:rFonts w:eastAsia="Times New Roman" w:cs="Arial"/>
          <w:lang w:eastAsia="es-ES"/>
        </w:rPr>
        <w:t>a</w:t>
      </w:r>
      <w:r w:rsidRPr="00C56272">
        <w:rPr>
          <w:rFonts w:eastAsia="Times New Roman" w:cs="Arial"/>
          <w:lang w:eastAsia="es-ES"/>
        </w:rPr>
        <w:t xml:space="preserve"> </w:t>
      </w:r>
      <w:r w:rsidR="00632439" w:rsidRPr="00C56272">
        <w:rPr>
          <w:rFonts w:eastAsia="Times New Roman" w:cs="Arial"/>
          <w:lang w:eastAsia="es-ES"/>
        </w:rPr>
        <w:t xml:space="preserve">los  medicamentos </w:t>
      </w:r>
      <w:r w:rsidR="002D6A33" w:rsidRPr="00C56272">
        <w:rPr>
          <w:rFonts w:eastAsia="Times New Roman" w:cs="Arial"/>
          <w:lang w:eastAsia="es-ES"/>
        </w:rPr>
        <w:t>homeopáticos</w:t>
      </w:r>
      <w:r w:rsidR="00632439" w:rsidRPr="00C56272">
        <w:rPr>
          <w:rFonts w:eastAsia="Times New Roman" w:cs="Arial"/>
          <w:lang w:eastAsia="es-ES"/>
        </w:rPr>
        <w:t xml:space="preserve"> en la categoría de </w:t>
      </w:r>
      <w:r w:rsidRPr="00C56272">
        <w:rPr>
          <w:rFonts w:eastAsia="Times New Roman" w:cs="Arial"/>
          <w:lang w:eastAsia="es-ES"/>
        </w:rPr>
        <w:t>Medicamentos Especiales</w:t>
      </w:r>
      <w:r w:rsidR="00632439" w:rsidRPr="00C56272">
        <w:rPr>
          <w:rFonts w:eastAsia="Times New Roman" w:cs="Arial"/>
          <w:lang w:eastAsia="es-ES"/>
        </w:rPr>
        <w:t xml:space="preserve"> debido a</w:t>
      </w:r>
      <w:r w:rsidR="008B5E43" w:rsidRPr="00C56272">
        <w:rPr>
          <w:rFonts w:cstheme="minorHAnsi"/>
          <w:i/>
          <w:color w:val="0070C0"/>
        </w:rPr>
        <w:t xml:space="preserve"> </w:t>
      </w:r>
      <w:r w:rsidR="002D6A33" w:rsidRPr="00C56272">
        <w:rPr>
          <w:rFonts w:cstheme="minorHAnsi"/>
          <w:i/>
          <w:color w:val="0070C0"/>
        </w:rPr>
        <w:t>“</w:t>
      </w:r>
      <w:r w:rsidR="008B5E43" w:rsidRPr="00C56272">
        <w:rPr>
          <w:rFonts w:cstheme="minorHAnsi"/>
          <w:i/>
          <w:color w:val="0070C0"/>
          <w:u w:val="single"/>
        </w:rPr>
        <w:t>que por sus características particulares requieren una regulación específica</w:t>
      </w:r>
      <w:r w:rsidR="008B5E43" w:rsidRPr="00C56272">
        <w:rPr>
          <w:rFonts w:eastAsia="Times New Roman" w:cs="Arial"/>
          <w:lang w:eastAsia="es-ES"/>
        </w:rPr>
        <w:t xml:space="preserve"> “</w:t>
      </w:r>
    </w:p>
    <w:p w:rsidR="00B5433A" w:rsidRPr="00C56272" w:rsidRDefault="00B5433A" w:rsidP="00B5433A">
      <w:pPr>
        <w:spacing w:after="0" w:line="240" w:lineRule="auto"/>
        <w:jc w:val="both"/>
        <w:rPr>
          <w:rFonts w:cstheme="minorHAnsi"/>
          <w:i/>
        </w:rPr>
      </w:pPr>
    </w:p>
    <w:p w:rsidR="00632439" w:rsidRPr="00C56272" w:rsidRDefault="00062466" w:rsidP="00F01998">
      <w:pPr>
        <w:jc w:val="both"/>
      </w:pPr>
      <w:r w:rsidRPr="00C56272">
        <w:t xml:space="preserve">La legislación española </w:t>
      </w:r>
      <w:r w:rsidRPr="00C56272">
        <w:rPr>
          <w:color w:val="0070C0"/>
        </w:rPr>
        <w:t>(</w:t>
      </w:r>
      <w:r w:rsidR="00340F68">
        <w:rPr>
          <w:color w:val="0070C0"/>
        </w:rPr>
        <w:t>5</w:t>
      </w:r>
      <w:r w:rsidRPr="00C56272">
        <w:rPr>
          <w:color w:val="0070C0"/>
        </w:rPr>
        <w:t>),</w:t>
      </w:r>
      <w:r w:rsidRPr="00C56272">
        <w:t xml:space="preserve"> siguiendo la normativa europea (</w:t>
      </w:r>
      <w:r w:rsidR="00340F68">
        <w:rPr>
          <w:color w:val="0000FF"/>
        </w:rPr>
        <w:t>2</w:t>
      </w:r>
      <w:r w:rsidRPr="00C56272">
        <w:rPr>
          <w:u w:val="single"/>
        </w:rPr>
        <w:t>)</w:t>
      </w:r>
      <w:r w:rsidRPr="00C56272">
        <w:t>,</w:t>
      </w:r>
      <w:r w:rsidRPr="00C56272">
        <w:rPr>
          <w:color w:val="0070C0"/>
        </w:rPr>
        <w:t xml:space="preserve"> </w:t>
      </w:r>
      <w:r w:rsidRPr="00C56272">
        <w:rPr>
          <w:color w:val="000090"/>
        </w:rPr>
        <w:t>e</w:t>
      </w:r>
      <w:r w:rsidRPr="00C56272">
        <w:t>stablece un</w:t>
      </w:r>
      <w:r w:rsidRPr="00C56272">
        <w:rPr>
          <w:u w:val="single"/>
        </w:rPr>
        <w:t xml:space="preserve"> REGISTRO SIMPLIFICADO ESPECIAL para  los medicamentos homeopáticos SIN INDICACIONES TERAPÉUTICAS APROBADAS</w:t>
      </w:r>
      <w:r w:rsidR="00632439" w:rsidRPr="00C56272">
        <w:t>, debido a</w:t>
      </w:r>
      <w:r w:rsidRPr="00C56272">
        <w:t xml:space="preserve"> «</w:t>
      </w:r>
      <w:r w:rsidRPr="00C56272">
        <w:rPr>
          <w:i/>
        </w:rPr>
        <w:t xml:space="preserve"> </w:t>
      </w:r>
      <w:r w:rsidRPr="00C56272">
        <w:rPr>
          <w:i/>
          <w:color w:val="0070C0"/>
        </w:rPr>
        <w:t xml:space="preserve">las especiales características de los medicamentos homeopáticos como son la débil concentración de principios activos y </w:t>
      </w:r>
      <w:r w:rsidRPr="00C56272">
        <w:rPr>
          <w:b/>
          <w:i/>
          <w:color w:val="0070C0"/>
        </w:rPr>
        <w:t>las dificultades para aplicarles la metodología estadística convencional sobre ensayos clínicos».</w:t>
      </w:r>
      <w:r w:rsidRPr="00C56272">
        <w:rPr>
          <w:b/>
          <w:i/>
        </w:rPr>
        <w:t xml:space="preserve"> </w:t>
      </w:r>
    </w:p>
    <w:p w:rsidR="00F01998" w:rsidRPr="00C56272" w:rsidRDefault="00EB4F38" w:rsidP="00EB4F38">
      <w:pPr>
        <w:jc w:val="both"/>
      </w:pPr>
      <w:r w:rsidRPr="00C56272">
        <w:t xml:space="preserve">La evaluación del medicamento homeopático en un ensayo clínico se enfrenta a </w:t>
      </w:r>
      <w:r w:rsidR="00F01998" w:rsidRPr="00C56272">
        <w:t>las siguientes</w:t>
      </w:r>
      <w:r w:rsidR="0006398C" w:rsidRPr="00C56272">
        <w:t xml:space="preserve"> </w:t>
      </w:r>
      <w:r w:rsidR="00F01998" w:rsidRPr="00C56272">
        <w:t>dificultades:</w:t>
      </w:r>
    </w:p>
    <w:p w:rsidR="00F01998" w:rsidRPr="00C56272" w:rsidRDefault="00F01998" w:rsidP="004A6703">
      <w:pPr>
        <w:pStyle w:val="Prrafodelista"/>
        <w:numPr>
          <w:ilvl w:val="0"/>
          <w:numId w:val="23"/>
        </w:numPr>
        <w:jc w:val="both"/>
      </w:pPr>
      <w:r w:rsidRPr="00C56272">
        <w:t xml:space="preserve">En los ensayos realizados para demostrar la eficacia de un medicamento convencional se intenta reducir al máximo la variabilidad intergrupal para que los resultados obtenidos sean debidos únicamente al medicamento. Sin embargo, la prescripción de  los medicamentos homeopáticos, se realiza precisamente en función de las características especiales de cada paciente, que hace que sea único y diferente, no se prescriben para una determinada patología </w:t>
      </w:r>
    </w:p>
    <w:p w:rsidR="00F01998" w:rsidRPr="00C56272" w:rsidRDefault="00EB4F38" w:rsidP="00F01998">
      <w:pPr>
        <w:pStyle w:val="Prrafodelista"/>
        <w:numPr>
          <w:ilvl w:val="0"/>
          <w:numId w:val="23"/>
        </w:numPr>
        <w:jc w:val="both"/>
      </w:pPr>
      <w:r w:rsidRPr="00C56272">
        <w:t>para diagnósticos diferentes se puede prescribir el mismo medicamento.</w:t>
      </w:r>
    </w:p>
    <w:p w:rsidR="00F01998" w:rsidRPr="00C56272" w:rsidRDefault="00F01998" w:rsidP="004A6703">
      <w:pPr>
        <w:pStyle w:val="Prrafodelista"/>
        <w:numPr>
          <w:ilvl w:val="0"/>
          <w:numId w:val="23"/>
        </w:numPr>
        <w:jc w:val="both"/>
      </w:pPr>
      <w:r w:rsidRPr="00C56272">
        <w:t>para un mismo diagnóstico puede haber medicamentos diferentes para enfermos que presentan distintas modalidades de reacción a la enfermedad.</w:t>
      </w:r>
    </w:p>
    <w:p w:rsidR="00D44D2F" w:rsidRPr="00C56272" w:rsidRDefault="00F01998" w:rsidP="00D44D2F">
      <w:pPr>
        <w:pStyle w:val="Prrafodelista"/>
        <w:numPr>
          <w:ilvl w:val="0"/>
          <w:numId w:val="23"/>
        </w:numPr>
        <w:jc w:val="both"/>
      </w:pPr>
      <w:r w:rsidRPr="00C56272">
        <w:t xml:space="preserve">en una enfermedad, para un solo enfermo, el médico puede tener que modificar la prescripción ya que el medicamento indicado en un momento dado </w:t>
      </w:r>
      <w:r w:rsidR="00D44D2F" w:rsidRPr="00C56272">
        <w:t xml:space="preserve">puede </w:t>
      </w:r>
      <w:r w:rsidRPr="00C56272">
        <w:t>deja</w:t>
      </w:r>
      <w:r w:rsidR="00D44D2F" w:rsidRPr="00C56272">
        <w:t>r</w:t>
      </w:r>
      <w:r w:rsidRPr="00C56272">
        <w:t xml:space="preserve"> de ser efectivo</w:t>
      </w:r>
      <w:r w:rsidR="00D44D2F" w:rsidRPr="00C56272">
        <w:t xml:space="preserve"> debido a la evolución en el estado del paciente.</w:t>
      </w:r>
    </w:p>
    <w:p w:rsidR="00052084" w:rsidRDefault="00052084" w:rsidP="00062466">
      <w:pPr>
        <w:jc w:val="both"/>
        <w:rPr>
          <w:b/>
        </w:rPr>
      </w:pPr>
    </w:p>
    <w:p w:rsidR="000B00C5" w:rsidRDefault="00EB4F38" w:rsidP="00062466">
      <w:pPr>
        <w:jc w:val="both"/>
      </w:pPr>
      <w:r w:rsidRPr="00C56272">
        <w:rPr>
          <w:b/>
        </w:rPr>
        <w:lastRenderedPageBreak/>
        <w:t>Por tanto, l</w:t>
      </w:r>
      <w:r w:rsidR="00632439" w:rsidRPr="00C56272">
        <w:rPr>
          <w:b/>
        </w:rPr>
        <w:t>a denominación de</w:t>
      </w:r>
      <w:r w:rsidRPr="00C56272">
        <w:rPr>
          <w:b/>
        </w:rPr>
        <w:t xml:space="preserve"> </w:t>
      </w:r>
      <w:r w:rsidR="00632439" w:rsidRPr="00C56272">
        <w:rPr>
          <w:b/>
        </w:rPr>
        <w:t>“</w:t>
      </w:r>
      <w:r w:rsidRPr="00C56272">
        <w:rPr>
          <w:b/>
        </w:rPr>
        <w:t>medicamento homeopático sin indicaciones terapéuticas aprobadas</w:t>
      </w:r>
      <w:r w:rsidR="00632439" w:rsidRPr="00C56272">
        <w:rPr>
          <w:b/>
        </w:rPr>
        <w:t>”</w:t>
      </w:r>
      <w:r w:rsidR="00062466" w:rsidRPr="00C56272">
        <w:rPr>
          <w:b/>
        </w:rPr>
        <w:t xml:space="preserve"> </w:t>
      </w:r>
      <w:r w:rsidR="00632439" w:rsidRPr="00C56272">
        <w:rPr>
          <w:b/>
        </w:rPr>
        <w:t>no significa</w:t>
      </w:r>
      <w:r w:rsidRPr="00C56272">
        <w:rPr>
          <w:b/>
        </w:rPr>
        <w:t xml:space="preserve"> </w:t>
      </w:r>
      <w:r w:rsidR="00062466" w:rsidRPr="00C56272">
        <w:rPr>
          <w:b/>
        </w:rPr>
        <w:t>que no sean efectivos</w:t>
      </w:r>
      <w:r w:rsidRPr="00C56272">
        <w:rPr>
          <w:b/>
        </w:rPr>
        <w:t>,</w:t>
      </w:r>
      <w:r w:rsidR="00062466" w:rsidRPr="00C56272">
        <w:rPr>
          <w:b/>
        </w:rPr>
        <w:t xml:space="preserve"> sino que se utili</w:t>
      </w:r>
      <w:r w:rsidR="0006398C" w:rsidRPr="00C56272">
        <w:rPr>
          <w:b/>
        </w:rPr>
        <w:t>zan según el método homeopático</w:t>
      </w:r>
      <w:r w:rsidR="00062466" w:rsidRPr="00C56272">
        <w:rPr>
          <w:b/>
        </w:rPr>
        <w:t xml:space="preserve"> siguiendo  criterios de  individualización del paciente, no indicándose para patologías concretas</w:t>
      </w:r>
      <w:r w:rsidR="00062466" w:rsidRPr="00C56272">
        <w:t xml:space="preserve">. </w:t>
      </w:r>
    </w:p>
    <w:p w:rsidR="00340F68" w:rsidRPr="00C56272" w:rsidRDefault="00340F68" w:rsidP="00062466">
      <w:pPr>
        <w:jc w:val="both"/>
      </w:pPr>
      <w:r>
        <w:t xml:space="preserve">Los medicamento homeopáticos </w:t>
      </w:r>
      <w:r w:rsidRPr="00340F68">
        <w:rPr>
          <w:b/>
          <w:u w:val="single"/>
        </w:rPr>
        <w:t>que reivindican indicación</w:t>
      </w:r>
      <w:r>
        <w:t xml:space="preserve">, se registran con </w:t>
      </w:r>
      <w:r w:rsidRPr="00340F68">
        <w:rPr>
          <w:b/>
          <w:u w:val="single"/>
        </w:rPr>
        <w:t>indicación terapéutica aprobada</w:t>
      </w:r>
      <w:r w:rsidRPr="00566E64">
        <w:rPr>
          <w:b/>
        </w:rPr>
        <w:t>,</w:t>
      </w:r>
      <w:r>
        <w:t xml:space="preserve"> y siguen el mismo procedimiento que CUALQUIER OTRO MEDICAMENTO, teniendo en cuenta su naturaleza homeopática.</w:t>
      </w:r>
    </w:p>
    <w:p w:rsidR="00B5433A" w:rsidRDefault="00B5433A" w:rsidP="00B5433A">
      <w:pPr>
        <w:jc w:val="both"/>
        <w:rPr>
          <w:sz w:val="20"/>
          <w:szCs w:val="20"/>
        </w:rPr>
      </w:pPr>
      <w:r w:rsidRPr="00C56272">
        <w:rPr>
          <w:rFonts w:eastAsia="Times New Roman" w:cs="Arial"/>
          <w:lang w:eastAsia="es-ES"/>
        </w:rPr>
        <w:t>El Gobierno español ha trasladado a la Comisión Europea en 3 ocasiones  la conveniencia de modificar la legislación vigente sobre la homeopatía.</w:t>
      </w:r>
      <w:r w:rsidRPr="00C56272">
        <w:rPr>
          <w:rFonts w:ascii="inherit" w:hAnsi="inherit" w:cs="Arial"/>
        </w:rPr>
        <w:t xml:space="preserve"> </w:t>
      </w:r>
      <w:r w:rsidRPr="00C56272">
        <w:rPr>
          <w:rFonts w:cs="Arial"/>
        </w:rPr>
        <w:t>La respuesta de la Comisión ha sido siempre la misma</w:t>
      </w:r>
      <w:r w:rsidRPr="00C56272">
        <w:rPr>
          <w:rFonts w:ascii="inherit" w:hAnsi="inherit" w:cs="Arial"/>
        </w:rPr>
        <w:t xml:space="preserve">: </w:t>
      </w:r>
      <w:r w:rsidRPr="00C56272">
        <w:rPr>
          <w:rFonts w:cs="Arial"/>
          <w:u w:val="single"/>
        </w:rPr>
        <w:t xml:space="preserve">No está previsto revisar la Directiva 2001/83/CE en lo que se refiere a medicamentos homeopáticos </w:t>
      </w:r>
      <w:r w:rsidRPr="00C56272">
        <w:rPr>
          <w:rFonts w:cs="Arial"/>
          <w:b/>
          <w:u w:val="single"/>
        </w:rPr>
        <w:t>ni tampoco cambiar su denominación a «sustancias homeopáticas”</w:t>
      </w:r>
      <w:r w:rsidR="00D44D2F" w:rsidRPr="00C56272">
        <w:rPr>
          <w:rFonts w:cs="Arial"/>
          <w:b/>
          <w:u w:val="single"/>
        </w:rPr>
        <w:t>.</w:t>
      </w:r>
      <w:r w:rsidR="00BD4B03">
        <w:rPr>
          <w:rFonts w:cs="Arial"/>
          <w:b/>
          <w:u w:val="single"/>
        </w:rPr>
        <w:t xml:space="preserve"> </w:t>
      </w:r>
      <w:r w:rsidR="00BD4B03">
        <w:rPr>
          <w:sz w:val="23"/>
          <w:szCs w:val="23"/>
        </w:rPr>
        <w:t>La Comisión considera que el marco normativo actual de los medicamentos homeopáticos tiene en cuenta su carácter específico y halla un equilibrio entre garantizar su calidad y seguridad e informar a los consumidores, incluyendo a los profesionales sanitarios, al tiempo que ofrece a los ciudadanos acceso a estos productos</w:t>
      </w:r>
      <w:r w:rsidR="00BD4B03">
        <w:rPr>
          <w:rFonts w:ascii="Times New Roman" w:hAnsi="Times New Roman" w:cs="Times New Roman"/>
          <w:sz w:val="23"/>
          <w:szCs w:val="23"/>
        </w:rPr>
        <w:t>.</w:t>
      </w:r>
      <w:r w:rsidR="00BD4B03" w:rsidRPr="00BD4B03">
        <w:rPr>
          <w:sz w:val="20"/>
          <w:szCs w:val="20"/>
        </w:rPr>
        <w:t xml:space="preserve"> </w:t>
      </w:r>
      <w:hyperlink r:id="rId5" w:anchor="sidesForm" w:history="1">
        <w:r w:rsidR="00BD4B03" w:rsidRPr="00EB310C">
          <w:rPr>
            <w:rStyle w:val="Hipervnculo"/>
            <w:sz w:val="20"/>
            <w:szCs w:val="20"/>
          </w:rPr>
          <w:t>http://www.europarl.europa.eu/plenary/es/parliamentary-questions.html#sidesForm</w:t>
        </w:r>
      </w:hyperlink>
    </w:p>
    <w:p w:rsidR="00443363" w:rsidRDefault="00443363" w:rsidP="00B5433A">
      <w:pPr>
        <w:jc w:val="both"/>
        <w:rPr>
          <w:sz w:val="20"/>
          <w:szCs w:val="20"/>
        </w:rPr>
      </w:pPr>
    </w:p>
    <w:p w:rsidR="00443363" w:rsidRPr="0059043F" w:rsidRDefault="00443363" w:rsidP="00443363">
      <w:pPr>
        <w:autoSpaceDE w:val="0"/>
        <w:autoSpaceDN w:val="0"/>
        <w:adjustRightInd w:val="0"/>
        <w:spacing w:after="0"/>
        <w:jc w:val="both"/>
        <w:rPr>
          <w:rFonts w:cs="Times New Roman"/>
        </w:rPr>
      </w:pPr>
      <w:r>
        <w:rPr>
          <w:b/>
        </w:rPr>
        <w:t>6</w:t>
      </w:r>
      <w:r w:rsidRPr="00443363">
        <w:rPr>
          <w:b/>
          <w:color w:val="0070C0"/>
        </w:rPr>
        <w:t>.</w:t>
      </w:r>
      <w:r w:rsidRPr="0059043F">
        <w:rPr>
          <w:color w:val="0070C0"/>
        </w:rPr>
        <w:t>-</w:t>
      </w:r>
      <w:r w:rsidRPr="0059043F">
        <w:rPr>
          <w:rFonts w:cs="Times New Roman"/>
        </w:rPr>
        <w:t xml:space="preserve"> El Real Decreto 1277/2003 </w:t>
      </w:r>
      <w:r>
        <w:rPr>
          <w:rFonts w:cs="Times New Roman"/>
        </w:rPr>
        <w:t>regula</w:t>
      </w:r>
      <w:r w:rsidRPr="0059043F">
        <w:rPr>
          <w:rFonts w:cs="Times New Roman"/>
        </w:rPr>
        <w:t xml:space="preserve"> las bases del procedimiento de</w:t>
      </w:r>
      <w:r>
        <w:rPr>
          <w:rFonts w:cs="Times New Roman"/>
        </w:rPr>
        <w:t xml:space="preserve"> </w:t>
      </w:r>
      <w:r w:rsidRPr="0059043F">
        <w:rPr>
          <w:rFonts w:cs="Times New Roman"/>
        </w:rPr>
        <w:t>autorización por parte de las Comunidades Autónomas de centros, servicios y</w:t>
      </w:r>
      <w:r>
        <w:rPr>
          <w:rFonts w:cs="Times New Roman"/>
        </w:rPr>
        <w:t xml:space="preserve"> </w:t>
      </w:r>
      <w:r w:rsidRPr="0059043F">
        <w:rPr>
          <w:rFonts w:cs="Times New Roman"/>
        </w:rPr>
        <w:t xml:space="preserve">establecimientos sanitarios, </w:t>
      </w:r>
      <w:r>
        <w:rPr>
          <w:rFonts w:cs="Times New Roman"/>
        </w:rPr>
        <w:t xml:space="preserve">y </w:t>
      </w:r>
      <w:r w:rsidRPr="0059043F">
        <w:rPr>
          <w:rFonts w:cs="Times New Roman"/>
        </w:rPr>
        <w:t>establece una clasificación, denominación y definición común</w:t>
      </w:r>
      <w:r>
        <w:rPr>
          <w:rFonts w:cs="Times New Roman"/>
        </w:rPr>
        <w:t xml:space="preserve"> para todos ellos.  En él queda definida  la Unidad asistencial U.101 de la siguiente forma:</w:t>
      </w:r>
    </w:p>
    <w:p w:rsidR="00443363" w:rsidRPr="0059043F" w:rsidRDefault="00443363" w:rsidP="00443363">
      <w:pPr>
        <w:autoSpaceDE w:val="0"/>
        <w:autoSpaceDN w:val="0"/>
        <w:adjustRightInd w:val="0"/>
        <w:spacing w:after="0"/>
        <w:rPr>
          <w:rFonts w:cs="Times New Roman"/>
        </w:rPr>
      </w:pPr>
    </w:p>
    <w:p w:rsidR="00443363" w:rsidRPr="00443363" w:rsidRDefault="00443363" w:rsidP="00443363">
      <w:pPr>
        <w:autoSpaceDE w:val="0"/>
        <w:autoSpaceDN w:val="0"/>
        <w:adjustRightInd w:val="0"/>
        <w:spacing w:after="0"/>
        <w:jc w:val="both"/>
        <w:rPr>
          <w:rFonts w:cs="Times New Roman"/>
          <w:i/>
          <w:iCs/>
          <w:color w:val="0070C0"/>
        </w:rPr>
      </w:pPr>
      <w:r w:rsidRPr="00443363">
        <w:rPr>
          <w:rFonts w:cs="Times New Roman"/>
          <w:i/>
          <w:iCs/>
          <w:color w:val="0070C0"/>
        </w:rPr>
        <w:t>U.101. Terapias no convencionales: Unidad asistencial en la que un médico es responsable</w:t>
      </w:r>
    </w:p>
    <w:p w:rsidR="00443363" w:rsidRPr="00443363" w:rsidRDefault="00443363" w:rsidP="00443363">
      <w:pPr>
        <w:autoSpaceDE w:val="0"/>
        <w:autoSpaceDN w:val="0"/>
        <w:adjustRightInd w:val="0"/>
        <w:spacing w:after="0"/>
        <w:jc w:val="both"/>
        <w:rPr>
          <w:rFonts w:cs="Times New Roman"/>
          <w:i/>
          <w:iCs/>
          <w:color w:val="0070C0"/>
        </w:rPr>
      </w:pPr>
      <w:proofErr w:type="gramStart"/>
      <w:r w:rsidRPr="00443363">
        <w:rPr>
          <w:rFonts w:cs="Times New Roman"/>
          <w:i/>
          <w:iCs/>
          <w:color w:val="0070C0"/>
        </w:rPr>
        <w:t>de</w:t>
      </w:r>
      <w:proofErr w:type="gramEnd"/>
      <w:r w:rsidRPr="00443363">
        <w:rPr>
          <w:rFonts w:cs="Times New Roman"/>
          <w:i/>
          <w:iCs/>
          <w:color w:val="0070C0"/>
        </w:rPr>
        <w:t xml:space="preserve"> realizar tratamientos de las enfermedades por medio de </w:t>
      </w:r>
      <w:r w:rsidRPr="00443363">
        <w:rPr>
          <w:rFonts w:cs="Times New Roman"/>
          <w:b/>
          <w:bCs/>
          <w:i/>
          <w:iCs/>
          <w:color w:val="0070C0"/>
        </w:rPr>
        <w:t xml:space="preserve">medicina naturista </w:t>
      </w:r>
      <w:r w:rsidRPr="00443363">
        <w:rPr>
          <w:rFonts w:cs="Times New Roman"/>
          <w:i/>
          <w:iCs/>
          <w:color w:val="0070C0"/>
        </w:rPr>
        <w:t>o con</w:t>
      </w:r>
    </w:p>
    <w:p w:rsidR="00443363" w:rsidRPr="00443363" w:rsidRDefault="00443363" w:rsidP="00443363">
      <w:pPr>
        <w:autoSpaceDE w:val="0"/>
        <w:autoSpaceDN w:val="0"/>
        <w:adjustRightInd w:val="0"/>
        <w:spacing w:after="0"/>
        <w:jc w:val="both"/>
        <w:rPr>
          <w:rFonts w:cs="Times New Roman"/>
          <w:i/>
          <w:iCs/>
          <w:color w:val="0070C0"/>
        </w:rPr>
      </w:pPr>
      <w:proofErr w:type="gramStart"/>
      <w:r w:rsidRPr="00443363">
        <w:rPr>
          <w:rFonts w:cs="Times New Roman"/>
          <w:b/>
          <w:bCs/>
          <w:i/>
          <w:iCs/>
          <w:color w:val="0070C0"/>
        </w:rPr>
        <w:t>medicamentos</w:t>
      </w:r>
      <w:proofErr w:type="gramEnd"/>
      <w:r w:rsidRPr="00443363">
        <w:rPr>
          <w:rFonts w:cs="Times New Roman"/>
          <w:b/>
          <w:bCs/>
          <w:i/>
          <w:iCs/>
          <w:color w:val="0070C0"/>
        </w:rPr>
        <w:t xml:space="preserve"> homeopáticos </w:t>
      </w:r>
      <w:r w:rsidRPr="00443363">
        <w:rPr>
          <w:rFonts w:cs="Times New Roman"/>
          <w:i/>
          <w:iCs/>
          <w:color w:val="0070C0"/>
        </w:rPr>
        <w:t xml:space="preserve">o mediante </w:t>
      </w:r>
      <w:r w:rsidRPr="00443363">
        <w:rPr>
          <w:rFonts w:cs="Times New Roman"/>
          <w:b/>
          <w:bCs/>
          <w:i/>
          <w:iCs/>
          <w:color w:val="0070C0"/>
        </w:rPr>
        <w:t xml:space="preserve">técnicas de estimulación periférica </w:t>
      </w:r>
      <w:r w:rsidRPr="00443363">
        <w:rPr>
          <w:rFonts w:cs="Times New Roman"/>
          <w:i/>
          <w:iCs/>
          <w:color w:val="0070C0"/>
        </w:rPr>
        <w:t>con agujas u</w:t>
      </w:r>
    </w:p>
    <w:p w:rsidR="00A72FC3" w:rsidRDefault="00443363" w:rsidP="00443363">
      <w:pPr>
        <w:pStyle w:val="Default"/>
        <w:rPr>
          <w:rFonts w:asciiTheme="minorHAnsi" w:hAnsiTheme="minorHAnsi" w:cs="Times New Roman"/>
          <w:i/>
          <w:iCs/>
          <w:color w:val="0070C0"/>
          <w:sz w:val="22"/>
          <w:szCs w:val="22"/>
        </w:rPr>
      </w:pPr>
      <w:proofErr w:type="gramStart"/>
      <w:r w:rsidRPr="00443363">
        <w:rPr>
          <w:rFonts w:asciiTheme="minorHAnsi" w:hAnsiTheme="minorHAnsi" w:cs="Times New Roman"/>
          <w:i/>
          <w:iCs/>
          <w:color w:val="0070C0"/>
          <w:sz w:val="22"/>
          <w:szCs w:val="22"/>
        </w:rPr>
        <w:t>otros</w:t>
      </w:r>
      <w:proofErr w:type="gramEnd"/>
      <w:r w:rsidRPr="00443363">
        <w:rPr>
          <w:rFonts w:asciiTheme="minorHAnsi" w:hAnsiTheme="minorHAnsi" w:cs="Times New Roman"/>
          <w:i/>
          <w:iCs/>
          <w:color w:val="0070C0"/>
          <w:sz w:val="22"/>
          <w:szCs w:val="22"/>
        </w:rPr>
        <w:t xml:space="preserve"> que demuestren su eficacia y su seguridad</w:t>
      </w:r>
    </w:p>
    <w:p w:rsidR="00443363" w:rsidRDefault="00443363" w:rsidP="00443363">
      <w:pPr>
        <w:pStyle w:val="Default"/>
        <w:rPr>
          <w:rFonts w:asciiTheme="minorHAnsi" w:hAnsiTheme="minorHAnsi" w:cs="Times New Roman"/>
          <w:i/>
          <w:iCs/>
          <w:color w:val="0070C0"/>
          <w:sz w:val="22"/>
          <w:szCs w:val="22"/>
        </w:rPr>
      </w:pPr>
    </w:p>
    <w:p w:rsidR="00443363" w:rsidRPr="00C56272" w:rsidRDefault="00443363" w:rsidP="00443363">
      <w:pPr>
        <w:pStyle w:val="Default"/>
        <w:rPr>
          <w:sz w:val="22"/>
          <w:szCs w:val="22"/>
        </w:rPr>
      </w:pPr>
    </w:p>
    <w:p w:rsidR="00B5433A" w:rsidRPr="00C56272" w:rsidRDefault="00443363" w:rsidP="00EF0E64">
      <w:pPr>
        <w:pStyle w:val="Default"/>
        <w:spacing w:line="276" w:lineRule="auto"/>
        <w:jc w:val="both"/>
        <w:rPr>
          <w:color w:val="0070C0"/>
          <w:sz w:val="22"/>
          <w:szCs w:val="22"/>
        </w:rPr>
      </w:pPr>
      <w:r>
        <w:rPr>
          <w:b/>
          <w:sz w:val="22"/>
          <w:szCs w:val="22"/>
        </w:rPr>
        <w:t>7</w:t>
      </w:r>
      <w:r w:rsidR="001475A8" w:rsidRPr="00C56272">
        <w:rPr>
          <w:sz w:val="22"/>
          <w:szCs w:val="22"/>
        </w:rPr>
        <w:t>.- E</w:t>
      </w:r>
      <w:r w:rsidR="00EF0E64" w:rsidRPr="00C56272">
        <w:rPr>
          <w:sz w:val="22"/>
          <w:szCs w:val="22"/>
        </w:rPr>
        <w:t xml:space="preserve">l </w:t>
      </w:r>
      <w:r w:rsidR="00EF0E64" w:rsidRPr="00C56272">
        <w:rPr>
          <w:b/>
          <w:bCs/>
          <w:sz w:val="22"/>
          <w:szCs w:val="22"/>
        </w:rPr>
        <w:t xml:space="preserve">REGLAMENTO (UE) 2018/848 DEL PARLAMENTO EUROPEO Y DEL CONSEJO de 30 de mayo de 2018 sobre producción ecológica y etiquetado de los productos ecológicos, </w:t>
      </w:r>
      <w:r w:rsidR="00EF0E64" w:rsidRPr="00C56272">
        <w:rPr>
          <w:sz w:val="22"/>
          <w:szCs w:val="22"/>
        </w:rPr>
        <w:t xml:space="preserve">especifica que </w:t>
      </w:r>
      <w:r w:rsidR="00EF0E64" w:rsidRPr="00C56272">
        <w:rPr>
          <w:sz w:val="22"/>
          <w:szCs w:val="22"/>
          <w:u w:val="single"/>
        </w:rPr>
        <w:t xml:space="preserve">se dará preferencia a la utilización de productos </w:t>
      </w:r>
      <w:proofErr w:type="spellStart"/>
      <w:r w:rsidR="00EF0E64" w:rsidRPr="00C56272">
        <w:rPr>
          <w:sz w:val="22"/>
          <w:szCs w:val="22"/>
          <w:u w:val="single"/>
        </w:rPr>
        <w:t>fitoterapéuticos</w:t>
      </w:r>
      <w:proofErr w:type="spellEnd"/>
      <w:r w:rsidR="00EF0E64" w:rsidRPr="00C56272">
        <w:rPr>
          <w:sz w:val="22"/>
          <w:szCs w:val="22"/>
          <w:u w:val="single"/>
        </w:rPr>
        <w:t xml:space="preserve"> y </w:t>
      </w:r>
      <w:r w:rsidR="00EF0E64" w:rsidRPr="00C56272">
        <w:rPr>
          <w:b/>
          <w:sz w:val="22"/>
          <w:szCs w:val="22"/>
          <w:u w:val="single"/>
        </w:rPr>
        <w:t>homeopáticos</w:t>
      </w:r>
      <w:r w:rsidR="00EF0E64" w:rsidRPr="00C56272">
        <w:rPr>
          <w:sz w:val="22"/>
          <w:szCs w:val="22"/>
          <w:u w:val="single"/>
        </w:rPr>
        <w:t xml:space="preserve"> f</w:t>
      </w:r>
      <w:r w:rsidR="00EF0E64" w:rsidRPr="00C56272">
        <w:rPr>
          <w:sz w:val="22"/>
          <w:szCs w:val="22"/>
        </w:rPr>
        <w:t>rente a los tratamientos con medicamentos veterinarios alopáticos de síntesis química, incluidos los antibióticos, siempre que sus efectos terapéuticos resulten eficaces para la especie animal y la afección a la que vaya dirigido el tratamiento.</w:t>
      </w:r>
    </w:p>
    <w:p w:rsidR="00B5433A" w:rsidRPr="00C56272" w:rsidRDefault="00B5433A" w:rsidP="00B5433A">
      <w:pPr>
        <w:pStyle w:val="Default"/>
        <w:spacing w:line="276" w:lineRule="auto"/>
        <w:jc w:val="both"/>
        <w:rPr>
          <w:color w:val="0070C0"/>
          <w:sz w:val="22"/>
          <w:szCs w:val="22"/>
        </w:rPr>
      </w:pPr>
    </w:p>
    <w:p w:rsidR="000550FD" w:rsidRDefault="000550FD" w:rsidP="00B5433A">
      <w:pPr>
        <w:pStyle w:val="Default"/>
        <w:spacing w:line="276" w:lineRule="auto"/>
        <w:jc w:val="both"/>
        <w:rPr>
          <w:color w:val="0070C0"/>
          <w:sz w:val="22"/>
          <w:szCs w:val="22"/>
        </w:rPr>
      </w:pPr>
    </w:p>
    <w:p w:rsidR="000550FD" w:rsidRPr="00C56272" w:rsidRDefault="00443363" w:rsidP="000550FD">
      <w:pPr>
        <w:pStyle w:val="Default"/>
        <w:spacing w:line="276" w:lineRule="auto"/>
        <w:jc w:val="both"/>
        <w:rPr>
          <w:color w:val="auto"/>
          <w:sz w:val="22"/>
          <w:szCs w:val="22"/>
        </w:rPr>
      </w:pPr>
      <w:r>
        <w:rPr>
          <w:b/>
          <w:color w:val="auto"/>
          <w:sz w:val="22"/>
          <w:szCs w:val="22"/>
        </w:rPr>
        <w:t>8</w:t>
      </w:r>
      <w:r w:rsidR="000550FD" w:rsidRPr="00C56272">
        <w:rPr>
          <w:b/>
          <w:color w:val="auto"/>
          <w:sz w:val="22"/>
          <w:szCs w:val="22"/>
        </w:rPr>
        <w:t>.</w:t>
      </w:r>
      <w:r w:rsidR="000550FD" w:rsidRPr="00C56272">
        <w:rPr>
          <w:color w:val="0070C0"/>
          <w:sz w:val="22"/>
          <w:szCs w:val="22"/>
        </w:rPr>
        <w:t xml:space="preserve">- </w:t>
      </w:r>
      <w:r w:rsidR="000550FD" w:rsidRPr="00C56272">
        <w:rPr>
          <w:color w:val="auto"/>
          <w:sz w:val="22"/>
          <w:szCs w:val="22"/>
        </w:rPr>
        <w:t xml:space="preserve">Toda la persecución que se está llevando a cabo se basa en la consideración de que no existen pruebas científicas de la homeopatía, y de que se trata de prácticas engañosas que representan un coste de oportunidad asistencial porque favorece el retraso o sustitución de tratamientos convencionales. </w:t>
      </w:r>
    </w:p>
    <w:p w:rsidR="00E80FE8" w:rsidRDefault="00E80FE8" w:rsidP="000550FD">
      <w:pPr>
        <w:pStyle w:val="Default"/>
        <w:spacing w:line="276" w:lineRule="auto"/>
        <w:jc w:val="both"/>
        <w:rPr>
          <w:color w:val="auto"/>
          <w:sz w:val="22"/>
          <w:szCs w:val="22"/>
        </w:rPr>
      </w:pPr>
    </w:p>
    <w:p w:rsidR="00443363" w:rsidRPr="00C56272" w:rsidRDefault="00443363" w:rsidP="000550FD">
      <w:pPr>
        <w:pStyle w:val="Default"/>
        <w:spacing w:line="276" w:lineRule="auto"/>
        <w:jc w:val="both"/>
        <w:rPr>
          <w:color w:val="auto"/>
          <w:sz w:val="22"/>
          <w:szCs w:val="22"/>
        </w:rPr>
      </w:pPr>
    </w:p>
    <w:p w:rsidR="00E80FE8" w:rsidRPr="00C56272" w:rsidRDefault="00E80FE8" w:rsidP="000550FD">
      <w:pPr>
        <w:pStyle w:val="Default"/>
        <w:spacing w:line="276" w:lineRule="auto"/>
        <w:jc w:val="both"/>
        <w:rPr>
          <w:color w:val="auto"/>
          <w:sz w:val="22"/>
          <w:szCs w:val="22"/>
        </w:rPr>
      </w:pPr>
    </w:p>
    <w:p w:rsidR="00E80FE8" w:rsidRPr="00C56272" w:rsidRDefault="00E80FE8" w:rsidP="00E80FE8">
      <w:pPr>
        <w:pStyle w:val="Default"/>
        <w:spacing w:line="276" w:lineRule="auto"/>
        <w:ind w:firstLine="708"/>
        <w:jc w:val="both"/>
        <w:rPr>
          <w:color w:val="auto"/>
          <w:sz w:val="22"/>
          <w:szCs w:val="22"/>
        </w:rPr>
      </w:pPr>
      <w:r w:rsidRPr="00C56272">
        <w:rPr>
          <w:b/>
          <w:color w:val="auto"/>
          <w:sz w:val="22"/>
          <w:szCs w:val="22"/>
        </w:rPr>
        <w:lastRenderedPageBreak/>
        <w:t xml:space="preserve">      a.</w:t>
      </w:r>
      <w:r w:rsidRPr="00C56272">
        <w:rPr>
          <w:color w:val="auto"/>
          <w:sz w:val="22"/>
          <w:szCs w:val="22"/>
        </w:rPr>
        <w:t>-</w:t>
      </w:r>
      <w:r w:rsidRPr="00C56272">
        <w:rPr>
          <w:b/>
          <w:color w:val="auto"/>
          <w:sz w:val="22"/>
          <w:szCs w:val="22"/>
          <w:u w:val="single"/>
        </w:rPr>
        <w:t>Respecto a la evidencia científica de la homeopatía</w:t>
      </w:r>
      <w:r w:rsidRPr="00C56272">
        <w:rPr>
          <w:color w:val="auto"/>
          <w:sz w:val="22"/>
          <w:szCs w:val="22"/>
        </w:rPr>
        <w:t xml:space="preserve">: </w:t>
      </w:r>
    </w:p>
    <w:p w:rsidR="00E80FE8" w:rsidRPr="00C56272" w:rsidRDefault="00E80FE8" w:rsidP="00E80FE8">
      <w:pPr>
        <w:pStyle w:val="Default"/>
        <w:spacing w:line="276" w:lineRule="auto"/>
        <w:ind w:firstLine="708"/>
        <w:jc w:val="both"/>
        <w:rPr>
          <w:color w:val="0070C0"/>
          <w:sz w:val="22"/>
          <w:szCs w:val="22"/>
        </w:rPr>
      </w:pPr>
    </w:p>
    <w:p w:rsidR="00E80FE8" w:rsidRPr="00C56272" w:rsidRDefault="00E80FE8" w:rsidP="00E80FE8">
      <w:pPr>
        <w:pStyle w:val="Default"/>
        <w:spacing w:line="276" w:lineRule="auto"/>
        <w:jc w:val="both"/>
        <w:rPr>
          <w:color w:val="auto"/>
          <w:sz w:val="22"/>
          <w:szCs w:val="22"/>
        </w:rPr>
      </w:pPr>
      <w:r w:rsidRPr="00C56272">
        <w:rPr>
          <w:color w:val="auto"/>
          <w:sz w:val="22"/>
          <w:szCs w:val="22"/>
        </w:rPr>
        <w:t xml:space="preserve">Existe una abundante literatura científica publicada en revistas </w:t>
      </w:r>
      <w:r w:rsidR="001475A8" w:rsidRPr="00C56272">
        <w:rPr>
          <w:color w:val="auto"/>
          <w:sz w:val="22"/>
          <w:szCs w:val="22"/>
        </w:rPr>
        <w:t xml:space="preserve">internacionales </w:t>
      </w:r>
      <w:proofErr w:type="gramStart"/>
      <w:r w:rsidRPr="00C56272">
        <w:rPr>
          <w:color w:val="auto"/>
          <w:sz w:val="22"/>
          <w:szCs w:val="22"/>
        </w:rPr>
        <w:t>cualificadas</w:t>
      </w:r>
      <w:proofErr w:type="gramEnd"/>
      <w:r w:rsidRPr="00C56272">
        <w:rPr>
          <w:color w:val="auto"/>
          <w:sz w:val="22"/>
          <w:szCs w:val="22"/>
        </w:rPr>
        <w:t xml:space="preserve"> que avala la utilidad, efectividad y eficacia del medicamento homeopático </w:t>
      </w:r>
      <w:r w:rsidRPr="00C56272">
        <w:rPr>
          <w:color w:val="0070C0"/>
          <w:sz w:val="22"/>
          <w:szCs w:val="22"/>
        </w:rPr>
        <w:t>(</w:t>
      </w:r>
      <w:r w:rsidR="00340F68">
        <w:rPr>
          <w:color w:val="0070C0"/>
          <w:sz w:val="22"/>
          <w:szCs w:val="22"/>
        </w:rPr>
        <w:t>6</w:t>
      </w:r>
      <w:r w:rsidRPr="00C56272">
        <w:rPr>
          <w:color w:val="0070C0"/>
          <w:sz w:val="22"/>
          <w:szCs w:val="22"/>
        </w:rPr>
        <w:t>).</w:t>
      </w:r>
      <w:r w:rsidRPr="00C56272">
        <w:rPr>
          <w:color w:val="auto"/>
          <w:sz w:val="22"/>
          <w:szCs w:val="22"/>
        </w:rPr>
        <w:t xml:space="preserve"> Por lo tanto, la afirmación de que no hay pruebas a favor de la homeopatía no es sostenible. </w:t>
      </w:r>
    </w:p>
    <w:p w:rsidR="003565C7" w:rsidRPr="00C56272" w:rsidRDefault="003565C7" w:rsidP="00E80FE8">
      <w:pPr>
        <w:pStyle w:val="Default"/>
        <w:spacing w:line="276" w:lineRule="auto"/>
        <w:jc w:val="both"/>
        <w:rPr>
          <w:color w:val="auto"/>
          <w:sz w:val="22"/>
          <w:szCs w:val="22"/>
        </w:rPr>
      </w:pPr>
    </w:p>
    <w:p w:rsidR="00052084" w:rsidRDefault="003565C7" w:rsidP="001475A8">
      <w:pPr>
        <w:jc w:val="both"/>
      </w:pPr>
      <w:r w:rsidRPr="00C56272">
        <w:t>Muchos  investigadores de diferentes Universidades e Institutos del mundo están trabajando en este campo y son miembros de</w:t>
      </w:r>
      <w:r w:rsidR="001475A8" w:rsidRPr="00C56272">
        <w:t xml:space="preserve">l International </w:t>
      </w:r>
      <w:proofErr w:type="spellStart"/>
      <w:r w:rsidR="001475A8" w:rsidRPr="00C56272">
        <w:t>Research</w:t>
      </w:r>
      <w:proofErr w:type="spellEnd"/>
      <w:r w:rsidR="001475A8" w:rsidRPr="00C56272">
        <w:t xml:space="preserve"> </w:t>
      </w:r>
      <w:proofErr w:type="spellStart"/>
      <w:r w:rsidR="001475A8" w:rsidRPr="00C56272">
        <w:t>Group</w:t>
      </w:r>
      <w:proofErr w:type="spellEnd"/>
      <w:r w:rsidR="001475A8" w:rsidRPr="00C56272">
        <w:t xml:space="preserve"> </w:t>
      </w:r>
      <w:proofErr w:type="spellStart"/>
      <w:r w:rsidR="001475A8" w:rsidRPr="00C56272">
        <w:t>on</w:t>
      </w:r>
      <w:proofErr w:type="spellEnd"/>
      <w:r w:rsidR="001475A8" w:rsidRPr="00C56272">
        <w:t xml:space="preserve"> </w:t>
      </w:r>
      <w:proofErr w:type="spellStart"/>
      <w:r w:rsidR="001475A8" w:rsidRPr="00C56272">
        <w:t>Very</w:t>
      </w:r>
      <w:proofErr w:type="spellEnd"/>
      <w:r w:rsidR="001475A8" w:rsidRPr="00C56272">
        <w:t xml:space="preserve"> </w:t>
      </w:r>
      <w:proofErr w:type="spellStart"/>
      <w:r w:rsidR="001475A8" w:rsidRPr="00C56272">
        <w:t>Low</w:t>
      </w:r>
      <w:proofErr w:type="spellEnd"/>
      <w:r w:rsidR="001475A8" w:rsidRPr="00C56272">
        <w:t xml:space="preserve"> </w:t>
      </w:r>
      <w:proofErr w:type="spellStart"/>
      <w:r w:rsidR="001475A8" w:rsidRPr="00C56272">
        <w:t>Dose</w:t>
      </w:r>
      <w:proofErr w:type="spellEnd"/>
      <w:r w:rsidR="001475A8" w:rsidRPr="00C56272">
        <w:t xml:space="preserve"> a</w:t>
      </w:r>
      <w:r w:rsidR="00987269" w:rsidRPr="00C56272">
        <w:t>nd</w:t>
      </w:r>
      <w:r w:rsidR="001475A8" w:rsidRPr="00C56272">
        <w:t xml:space="preserve"> </w:t>
      </w:r>
      <w:proofErr w:type="spellStart"/>
      <w:r w:rsidR="001475A8" w:rsidRPr="00C56272">
        <w:t>High</w:t>
      </w:r>
      <w:proofErr w:type="spellEnd"/>
      <w:r w:rsidR="001475A8" w:rsidRPr="00C56272">
        <w:t xml:space="preserve"> </w:t>
      </w:r>
      <w:proofErr w:type="spellStart"/>
      <w:r w:rsidR="001475A8" w:rsidRPr="00C56272">
        <w:t>Dilutions</w:t>
      </w:r>
      <w:proofErr w:type="spellEnd"/>
      <w:r w:rsidR="001475A8" w:rsidRPr="00C56272">
        <w:t xml:space="preserve"> </w:t>
      </w:r>
      <w:proofErr w:type="spellStart"/>
      <w:r w:rsidR="001475A8" w:rsidRPr="00C56272">
        <w:t>Effects</w:t>
      </w:r>
      <w:proofErr w:type="spellEnd"/>
      <w:r w:rsidR="001475A8" w:rsidRPr="00C56272">
        <w:t xml:space="preserve">, </w:t>
      </w:r>
      <w:r w:rsidRPr="00C56272">
        <w:t xml:space="preserve">grupo </w:t>
      </w:r>
      <w:r w:rsidR="001475A8" w:rsidRPr="00C56272">
        <w:t xml:space="preserve">de científicos </w:t>
      </w:r>
      <w:r w:rsidRPr="00C56272">
        <w:t>que estudian el efecto de l</w:t>
      </w:r>
      <w:r w:rsidR="001475A8" w:rsidRPr="00C56272">
        <w:t xml:space="preserve">as altas diluciones dinamizadas. </w:t>
      </w:r>
      <w:r w:rsidRPr="00C56272">
        <w:t>Gracias a  la cantidad y calidad de artícu</w:t>
      </w:r>
      <w:r w:rsidR="001475A8" w:rsidRPr="00C56272">
        <w:t>los publicados, han contribuido</w:t>
      </w:r>
      <w:r w:rsidRPr="00C56272">
        <w:t xml:space="preserve">  a demostrar la utilización de las altas diluciones en inmunología, toxicología, farmacología o terapéutica</w:t>
      </w:r>
      <w:r w:rsidR="00052084">
        <w:t xml:space="preserve"> (</w:t>
      </w:r>
      <w:hyperlink r:id="rId6" w:history="1">
        <w:r w:rsidR="00052084" w:rsidRPr="00EB310C">
          <w:rPr>
            <w:rStyle w:val="Hipervnculo"/>
          </w:rPr>
          <w:t>http://giri-society.org/</w:t>
        </w:r>
      </w:hyperlink>
      <w:r w:rsidR="00052084">
        <w:t>)</w:t>
      </w:r>
    </w:p>
    <w:p w:rsidR="00E80FE8" w:rsidRPr="00C56272" w:rsidRDefault="00E80FE8" w:rsidP="00E80FE8">
      <w:pPr>
        <w:pStyle w:val="Default"/>
        <w:jc w:val="both"/>
        <w:rPr>
          <w:color w:val="0070C0"/>
          <w:sz w:val="22"/>
          <w:szCs w:val="22"/>
        </w:rPr>
      </w:pPr>
    </w:p>
    <w:p w:rsidR="00E80FE8" w:rsidRPr="00C56272" w:rsidRDefault="00E80FE8" w:rsidP="00E80FE8">
      <w:pPr>
        <w:autoSpaceDE w:val="0"/>
        <w:autoSpaceDN w:val="0"/>
        <w:adjustRightInd w:val="0"/>
        <w:spacing w:after="0"/>
        <w:jc w:val="both"/>
      </w:pPr>
      <w:r w:rsidRPr="00C56272">
        <w:t xml:space="preserve">La investigación </w:t>
      </w:r>
      <w:proofErr w:type="gramStart"/>
      <w:r w:rsidRPr="00C56272">
        <w:t>fundamental ,</w:t>
      </w:r>
      <w:proofErr w:type="gramEnd"/>
      <w:r w:rsidRPr="00C56272">
        <w:t xml:space="preserve"> </w:t>
      </w:r>
      <w:r w:rsidR="001475A8" w:rsidRPr="00C56272">
        <w:t xml:space="preserve">así como los </w:t>
      </w:r>
      <w:r w:rsidRPr="00C56272">
        <w:t>estudios clínicos y observacionales demuestran las bases científicas de la homeopatía y co</w:t>
      </w:r>
      <w:r w:rsidR="001475A8" w:rsidRPr="00C56272">
        <w:t>nstatan sus efectos específicos</w:t>
      </w:r>
      <w:r w:rsidRPr="00C56272">
        <w:t xml:space="preserve"> más allá del efecto placebo, confirmando su interés terapéutico y para la salud pública</w:t>
      </w:r>
      <w:r w:rsidR="006366B7">
        <w:t xml:space="preserve"> (</w:t>
      </w:r>
      <w:r w:rsidR="006366B7" w:rsidRPr="006366B7">
        <w:rPr>
          <w:color w:val="0070C0"/>
        </w:rPr>
        <w:t>6</w:t>
      </w:r>
      <w:r w:rsidR="006366B7">
        <w:t>)</w:t>
      </w:r>
      <w:r w:rsidRPr="00C56272">
        <w:t xml:space="preserve">. </w:t>
      </w:r>
    </w:p>
    <w:p w:rsidR="00E80FE8" w:rsidRPr="00C56272" w:rsidRDefault="00E80FE8" w:rsidP="00E80FE8">
      <w:pPr>
        <w:autoSpaceDE w:val="0"/>
        <w:autoSpaceDN w:val="0"/>
        <w:adjustRightInd w:val="0"/>
        <w:spacing w:after="0"/>
        <w:jc w:val="both"/>
        <w:rPr>
          <w:color w:val="0070C0"/>
        </w:rPr>
      </w:pPr>
    </w:p>
    <w:p w:rsidR="00E80FE8" w:rsidRPr="00C56272" w:rsidRDefault="00E80FE8" w:rsidP="00E80FE8">
      <w:pPr>
        <w:autoSpaceDE w:val="0"/>
        <w:autoSpaceDN w:val="0"/>
        <w:adjustRightInd w:val="0"/>
        <w:spacing w:after="0"/>
        <w:jc w:val="both"/>
        <w:rPr>
          <w:color w:val="0070C0"/>
        </w:rPr>
      </w:pPr>
      <w:r w:rsidRPr="00C56272">
        <w:rPr>
          <w:bCs/>
        </w:rPr>
        <w:t xml:space="preserve">En Alemania, la Fundación </w:t>
      </w:r>
      <w:proofErr w:type="spellStart"/>
      <w:r w:rsidRPr="00C56272">
        <w:rPr>
          <w:bCs/>
        </w:rPr>
        <w:t>Carstens-Stiftung</w:t>
      </w:r>
      <w:proofErr w:type="spellEnd"/>
      <w:r w:rsidRPr="00C56272">
        <w:rPr>
          <w:bCs/>
        </w:rPr>
        <w:t xml:space="preserve">, investiga en homeopatía desde hace más de 25 años, y ha creado la primera base de datos de </w:t>
      </w:r>
      <w:r w:rsidRPr="00C56272">
        <w:rPr>
          <w:b/>
          <w:bCs/>
          <w:u w:val="single"/>
        </w:rPr>
        <w:t>experimentación básica</w:t>
      </w:r>
      <w:r w:rsidRPr="00C56272">
        <w:rPr>
          <w:bCs/>
        </w:rPr>
        <w:t xml:space="preserve"> , denominada </w:t>
      </w:r>
      <w:proofErr w:type="spellStart"/>
      <w:r w:rsidRPr="00C56272">
        <w:rPr>
          <w:bCs/>
        </w:rPr>
        <w:t>HomBrex</w:t>
      </w:r>
      <w:proofErr w:type="spellEnd"/>
      <w:r w:rsidRPr="00C56272">
        <w:rPr>
          <w:bCs/>
        </w:rPr>
        <w:t xml:space="preserve">, que recoge </w:t>
      </w:r>
      <w:r w:rsidRPr="00C56272">
        <w:rPr>
          <w:b/>
          <w:bCs/>
        </w:rPr>
        <w:t xml:space="preserve">2.418 </w:t>
      </w:r>
      <w:r w:rsidRPr="00C56272">
        <w:rPr>
          <w:bCs/>
        </w:rPr>
        <w:t xml:space="preserve"> experimentaciones a fecha de diciembre de 2018 </w:t>
      </w:r>
      <w:r w:rsidRPr="00C56272">
        <w:rPr>
          <w:bCs/>
          <w:color w:val="0070C0"/>
        </w:rPr>
        <w:t>(</w:t>
      </w:r>
      <w:r w:rsidR="006366B7">
        <w:rPr>
          <w:bCs/>
          <w:color w:val="0070C0"/>
        </w:rPr>
        <w:t>8</w:t>
      </w:r>
      <w:r w:rsidRPr="00C56272">
        <w:rPr>
          <w:bCs/>
          <w:color w:val="0070C0"/>
        </w:rPr>
        <w:t xml:space="preserve">) </w:t>
      </w:r>
      <w:r w:rsidRPr="00C56272">
        <w:rPr>
          <w:bCs/>
        </w:rPr>
        <w:t xml:space="preserve">entre ellas  los efectos de las altas diluciones </w:t>
      </w:r>
      <w:r w:rsidRPr="00C56272">
        <w:rPr>
          <w:b/>
          <w:bCs/>
        </w:rPr>
        <w:t xml:space="preserve">en  </w:t>
      </w:r>
      <w:r w:rsidRPr="00C56272">
        <w:rPr>
          <w:b/>
        </w:rPr>
        <w:t>modelos animales, en plantas , en órganos aislados , en cultivos celulares y en  microorganismos</w:t>
      </w:r>
      <w:r w:rsidRPr="00C56272">
        <w:rPr>
          <w:color w:val="0070C0"/>
        </w:rPr>
        <w:t>.</w:t>
      </w:r>
    </w:p>
    <w:p w:rsidR="001475A8" w:rsidRPr="00C56272" w:rsidRDefault="001475A8" w:rsidP="00E80FE8">
      <w:pPr>
        <w:jc w:val="both"/>
        <w:rPr>
          <w:rFonts w:cs="Arial"/>
          <w:b/>
          <w:bCs/>
          <w:u w:val="single"/>
        </w:rPr>
      </w:pPr>
    </w:p>
    <w:p w:rsidR="00E80FE8" w:rsidRPr="00C56272" w:rsidRDefault="00E80FE8" w:rsidP="00E80FE8">
      <w:pPr>
        <w:jc w:val="both"/>
        <w:rPr>
          <w:rFonts w:cs="Arial"/>
          <w:bCs/>
        </w:rPr>
      </w:pPr>
      <w:r w:rsidRPr="00C56272">
        <w:rPr>
          <w:rFonts w:cs="Arial"/>
          <w:b/>
          <w:bCs/>
          <w:u w:val="single"/>
        </w:rPr>
        <w:t>Respecto a la investigación clínica</w:t>
      </w:r>
      <w:r w:rsidRPr="00C56272">
        <w:rPr>
          <w:rFonts w:cs="Arial"/>
          <w:b/>
          <w:bCs/>
        </w:rPr>
        <w:t xml:space="preserve">, </w:t>
      </w:r>
      <w:r w:rsidRPr="00C56272">
        <w:rPr>
          <w:rFonts w:cs="Arial"/>
          <w:bCs/>
        </w:rPr>
        <w:t>la Fundación</w:t>
      </w:r>
      <w:r w:rsidRPr="00C56272">
        <w:rPr>
          <w:bCs/>
        </w:rPr>
        <w:t xml:space="preserve"> </w:t>
      </w:r>
      <w:proofErr w:type="spellStart"/>
      <w:r w:rsidRPr="00C56272">
        <w:rPr>
          <w:bCs/>
        </w:rPr>
        <w:t>Carstens-Stiftung</w:t>
      </w:r>
      <w:proofErr w:type="spellEnd"/>
      <w:r w:rsidRPr="00C56272">
        <w:rPr>
          <w:rFonts w:cs="Arial"/>
          <w:b/>
          <w:bCs/>
        </w:rPr>
        <w:t xml:space="preserve"> </w:t>
      </w:r>
      <w:r w:rsidRPr="00C56272">
        <w:rPr>
          <w:rFonts w:cs="Arial"/>
          <w:bCs/>
        </w:rPr>
        <w:t>ha reunido y listado en su base de datos CORE-</w:t>
      </w:r>
      <w:proofErr w:type="spellStart"/>
      <w:r w:rsidRPr="00C56272">
        <w:rPr>
          <w:rFonts w:cs="Arial"/>
          <w:bCs/>
        </w:rPr>
        <w:t>Hom</w:t>
      </w:r>
      <w:proofErr w:type="spellEnd"/>
      <w:r w:rsidRPr="00C56272">
        <w:rPr>
          <w:rFonts w:cs="Arial"/>
          <w:bCs/>
        </w:rPr>
        <w:t>, 1.245 ensayos clínicos homeopáticos</w:t>
      </w:r>
      <w:r w:rsidR="0029299D">
        <w:rPr>
          <w:rFonts w:cs="Arial"/>
          <w:bCs/>
          <w:color w:val="0070C0"/>
        </w:rPr>
        <w:t xml:space="preserve"> (</w:t>
      </w:r>
      <w:r w:rsidR="006366B7">
        <w:rPr>
          <w:rFonts w:cs="Arial"/>
          <w:bCs/>
          <w:color w:val="0070C0"/>
        </w:rPr>
        <w:t>8</w:t>
      </w:r>
      <w:r w:rsidRPr="00C56272">
        <w:rPr>
          <w:rFonts w:cs="Arial"/>
          <w:bCs/>
          <w:color w:val="0070C0"/>
        </w:rPr>
        <w:t>)</w:t>
      </w:r>
      <w:r w:rsidRPr="00C56272">
        <w:rPr>
          <w:rFonts w:cs="Arial"/>
          <w:b/>
          <w:bCs/>
          <w:color w:val="0070C0"/>
        </w:rPr>
        <w:t xml:space="preserve"> </w:t>
      </w:r>
      <w:r w:rsidRPr="00C56272">
        <w:rPr>
          <w:rFonts w:cs="Arial"/>
          <w:b/>
          <w:bCs/>
        </w:rPr>
        <w:t>existiendo evidencias científicas</w:t>
      </w:r>
      <w:r w:rsidRPr="00C56272">
        <w:rPr>
          <w:rFonts w:cs="Arial"/>
          <w:bCs/>
        </w:rPr>
        <w:t xml:space="preserve"> favorables que provienen de revisiones sistemáticas y </w:t>
      </w:r>
      <w:proofErr w:type="spellStart"/>
      <w:r w:rsidRPr="00C56272">
        <w:rPr>
          <w:rFonts w:cs="Arial"/>
          <w:bCs/>
        </w:rPr>
        <w:t>metaanálisis</w:t>
      </w:r>
      <w:proofErr w:type="spellEnd"/>
      <w:r w:rsidRPr="00C56272">
        <w:rPr>
          <w:rFonts w:cs="Arial"/>
          <w:bCs/>
        </w:rPr>
        <w:t xml:space="preserve">. </w:t>
      </w:r>
    </w:p>
    <w:p w:rsidR="00E80FE8" w:rsidRPr="00C56272" w:rsidRDefault="00E80FE8" w:rsidP="00E80FE8">
      <w:pPr>
        <w:pStyle w:val="Default"/>
        <w:spacing w:line="276" w:lineRule="auto"/>
        <w:jc w:val="both"/>
        <w:rPr>
          <w:sz w:val="22"/>
          <w:szCs w:val="22"/>
        </w:rPr>
      </w:pPr>
    </w:p>
    <w:p w:rsidR="00E80FE8" w:rsidRPr="00C56272" w:rsidRDefault="00E80FE8" w:rsidP="00E80FE8">
      <w:pPr>
        <w:jc w:val="both"/>
        <w:rPr>
          <w:color w:val="0070C0"/>
        </w:rPr>
      </w:pPr>
      <w:r w:rsidRPr="00C56272">
        <w:t xml:space="preserve">Si revisamos la conclusiones de los siete </w:t>
      </w:r>
      <w:proofErr w:type="spellStart"/>
      <w:r w:rsidRPr="00C56272">
        <w:t>metaanálisis</w:t>
      </w:r>
      <w:proofErr w:type="spellEnd"/>
      <w:r w:rsidRPr="00C56272">
        <w:t xml:space="preserve"> realizados de ensayos clínicos de tratamientos con homeopatía,   seis de ellos han arrojado conclusiones positivas para la homeopatía. En el último </w:t>
      </w:r>
      <w:proofErr w:type="spellStart"/>
      <w:r w:rsidRPr="00C56272">
        <w:t>metaanálisis</w:t>
      </w:r>
      <w:proofErr w:type="spellEnd"/>
      <w:r w:rsidRPr="00C56272">
        <w:t xml:space="preserve"> realizado en el año 2014, se observó que cuando los medicamentos homeopáticos se prescriben de forma individualizada,  tienen un efecto beneficioso 1,5 -2 veces superior al placebo </w:t>
      </w:r>
      <w:r w:rsidRPr="00C56272">
        <w:rPr>
          <w:color w:val="0070C0"/>
        </w:rPr>
        <w:t>(</w:t>
      </w:r>
      <w:r w:rsidR="006366B7">
        <w:rPr>
          <w:color w:val="0070C0"/>
        </w:rPr>
        <w:t>9</w:t>
      </w:r>
      <w:r w:rsidRPr="00C56272">
        <w:rPr>
          <w:color w:val="0070C0"/>
        </w:rPr>
        <w:t>)</w:t>
      </w:r>
      <w:r w:rsidR="00052084">
        <w:rPr>
          <w:color w:val="0070C0"/>
        </w:rPr>
        <w:t>.</w:t>
      </w:r>
    </w:p>
    <w:p w:rsidR="00E80FE8" w:rsidRPr="0029299D" w:rsidRDefault="00E80FE8" w:rsidP="0029299D">
      <w:pPr>
        <w:jc w:val="both"/>
      </w:pPr>
      <w:r w:rsidRPr="00C56272">
        <w:t xml:space="preserve">No solamente las conclusiones de la mayor parte de  los </w:t>
      </w:r>
      <w:proofErr w:type="spellStart"/>
      <w:r w:rsidRPr="00C56272">
        <w:t>metaanálisis</w:t>
      </w:r>
      <w:proofErr w:type="spellEnd"/>
      <w:r w:rsidRPr="00C56272">
        <w:t xml:space="preserve"> son positivas, sino también las de</w:t>
      </w:r>
      <w:r w:rsidR="0082492D" w:rsidRPr="00C56272">
        <w:t xml:space="preserve"> los expertos del </w:t>
      </w:r>
      <w:r w:rsidRPr="00C56272">
        <w:t xml:space="preserve"> GRUPO </w:t>
      </w:r>
      <w:r w:rsidR="00E83B4C" w:rsidRPr="00C56272">
        <w:t xml:space="preserve">de </w:t>
      </w:r>
      <w:r w:rsidRPr="00C56272">
        <w:t>HOMEOPATÍA creado en el seno de la Comisión Europea</w:t>
      </w:r>
      <w:r w:rsidR="0082492D" w:rsidRPr="00C56272">
        <w:t xml:space="preserve"> (1994 – 1996)</w:t>
      </w:r>
      <w:r w:rsidR="00E83B4C" w:rsidRPr="00C56272">
        <w:t xml:space="preserve"> </w:t>
      </w:r>
      <w:r w:rsidR="008450EF" w:rsidRPr="00C56272">
        <w:t xml:space="preserve">y </w:t>
      </w:r>
      <w:r w:rsidR="001475A8" w:rsidRPr="00C56272">
        <w:t xml:space="preserve">las conclusiones </w:t>
      </w:r>
      <w:r w:rsidR="00630682" w:rsidRPr="00C56272">
        <w:t xml:space="preserve">de la acción COST B4 </w:t>
      </w:r>
      <w:r w:rsidR="00630682" w:rsidRPr="00C56272">
        <w:rPr>
          <w:rFonts w:cs="Arial"/>
          <w:bCs/>
        </w:rPr>
        <w:t xml:space="preserve">(1.993-1.999) del Consejo de Europa concerniente a las medicinas no convencionales, </w:t>
      </w:r>
      <w:r w:rsidR="00E11B6D" w:rsidRPr="00C56272">
        <w:t>cuyos informes finales</w:t>
      </w:r>
      <w:r w:rsidR="00630682" w:rsidRPr="00C56272">
        <w:t xml:space="preserve"> </w:t>
      </w:r>
      <w:r w:rsidR="00630682" w:rsidRPr="00C56272">
        <w:rPr>
          <w:rFonts w:cs="Arial"/>
          <w:bCs/>
        </w:rPr>
        <w:t>sug</w:t>
      </w:r>
      <w:r w:rsidR="00E11B6D" w:rsidRPr="00C56272">
        <w:rPr>
          <w:rFonts w:cs="Arial"/>
          <w:bCs/>
        </w:rPr>
        <w:t>erían</w:t>
      </w:r>
      <w:r w:rsidR="00630682" w:rsidRPr="00C56272">
        <w:rPr>
          <w:rFonts w:cs="Arial"/>
          <w:bCs/>
        </w:rPr>
        <w:t xml:space="preserve"> que la </w:t>
      </w:r>
      <w:r w:rsidR="00E11B6D" w:rsidRPr="00C56272">
        <w:rPr>
          <w:rFonts w:cs="Arial"/>
          <w:bCs/>
        </w:rPr>
        <w:t>actividad de los remedios homeopáticos era sup</w:t>
      </w:r>
      <w:r w:rsidR="0029299D">
        <w:rPr>
          <w:rFonts w:cs="Arial"/>
          <w:bCs/>
        </w:rPr>
        <w:t>erior al placebo (</w:t>
      </w:r>
      <w:r w:rsidR="006366B7">
        <w:rPr>
          <w:rFonts w:cs="Arial"/>
          <w:bCs/>
          <w:color w:val="0000FF"/>
        </w:rPr>
        <w:t>10</w:t>
      </w:r>
      <w:r w:rsidR="0029299D">
        <w:rPr>
          <w:rFonts w:cs="Arial"/>
          <w:bCs/>
        </w:rPr>
        <w:t>)</w:t>
      </w:r>
    </w:p>
    <w:p w:rsidR="008450EF" w:rsidRPr="00C56272" w:rsidRDefault="00E80FE8" w:rsidP="00E80FE8">
      <w:pPr>
        <w:jc w:val="both"/>
        <w:rPr>
          <w:color w:val="0070C0"/>
        </w:rPr>
      </w:pPr>
      <w:r w:rsidRPr="00C56272">
        <w:t xml:space="preserve">Se han realizado también </w:t>
      </w:r>
      <w:r w:rsidRPr="00C56272">
        <w:rPr>
          <w:b/>
          <w:u w:val="single"/>
        </w:rPr>
        <w:t>estudios de coste-efectividad</w:t>
      </w:r>
      <w:r w:rsidRPr="00C56272">
        <w:t xml:space="preserve">, comprobándose  en general  que la Homeopatía es coste-efectiva en comparación con los tratamientos convencionales: los  pacientes que usan homeopatía consumen menos fármacos, están menos días enfermos, realizan menos visitas a médicos especialistas y pasan menos tiempo en hospitales. A esto se </w:t>
      </w:r>
      <w:r w:rsidRPr="00C56272">
        <w:lastRenderedPageBreak/>
        <w:t>añade que los medicamentos homeopáticos no tienen costes asociados con complicaciones por efectos adversos de la medicación</w:t>
      </w:r>
      <w:r w:rsidRPr="00C56272">
        <w:rPr>
          <w:color w:val="0070C0"/>
        </w:rPr>
        <w:t>.</w:t>
      </w:r>
    </w:p>
    <w:p w:rsidR="00B11A50" w:rsidRPr="00C56272" w:rsidRDefault="00E427B2" w:rsidP="00E427B2">
      <w:pPr>
        <w:pStyle w:val="Default"/>
        <w:spacing w:line="276" w:lineRule="auto"/>
        <w:jc w:val="both"/>
        <w:rPr>
          <w:sz w:val="22"/>
          <w:szCs w:val="22"/>
        </w:rPr>
      </w:pPr>
      <w:r w:rsidRPr="00C56272">
        <w:rPr>
          <w:color w:val="auto"/>
          <w:sz w:val="22"/>
          <w:szCs w:val="22"/>
        </w:rPr>
        <w:t>Existe también una</w:t>
      </w:r>
      <w:r w:rsidR="00B11A50" w:rsidRPr="00C56272">
        <w:rPr>
          <w:color w:val="auto"/>
          <w:sz w:val="22"/>
          <w:szCs w:val="22"/>
        </w:rPr>
        <w:t xml:space="preserve"> </w:t>
      </w:r>
      <w:r w:rsidRPr="00C56272">
        <w:rPr>
          <w:color w:val="auto"/>
          <w:sz w:val="22"/>
          <w:szCs w:val="22"/>
        </w:rPr>
        <w:t xml:space="preserve">gran cantidad de </w:t>
      </w:r>
      <w:r w:rsidR="00B11A50" w:rsidRPr="00C56272">
        <w:rPr>
          <w:color w:val="auto"/>
          <w:sz w:val="22"/>
          <w:szCs w:val="22"/>
        </w:rPr>
        <w:t xml:space="preserve"> </w:t>
      </w:r>
      <w:r w:rsidR="00B11A50" w:rsidRPr="00C56272">
        <w:rPr>
          <w:b/>
          <w:color w:val="auto"/>
          <w:sz w:val="22"/>
          <w:szCs w:val="22"/>
          <w:u w:val="single"/>
        </w:rPr>
        <w:t>estudios observacionales</w:t>
      </w:r>
      <w:r w:rsidR="00B11A50" w:rsidRPr="00C56272">
        <w:rPr>
          <w:color w:val="auto"/>
          <w:sz w:val="22"/>
          <w:szCs w:val="22"/>
        </w:rPr>
        <w:t xml:space="preserve"> </w:t>
      </w:r>
      <w:r w:rsidR="0029299D">
        <w:rPr>
          <w:color w:val="auto"/>
          <w:sz w:val="22"/>
          <w:szCs w:val="22"/>
        </w:rPr>
        <w:t xml:space="preserve"> (</w:t>
      </w:r>
      <w:r w:rsidR="006366B7">
        <w:rPr>
          <w:color w:val="0000FF"/>
          <w:sz w:val="22"/>
          <w:szCs w:val="22"/>
        </w:rPr>
        <w:t>11</w:t>
      </w:r>
      <w:r w:rsidR="0029299D">
        <w:rPr>
          <w:color w:val="0000FF"/>
          <w:sz w:val="22"/>
          <w:szCs w:val="22"/>
        </w:rPr>
        <w:t>-1</w:t>
      </w:r>
      <w:r w:rsidR="006366B7">
        <w:rPr>
          <w:color w:val="0000FF"/>
          <w:sz w:val="22"/>
          <w:szCs w:val="22"/>
        </w:rPr>
        <w:t>4</w:t>
      </w:r>
      <w:r w:rsidR="0029299D">
        <w:rPr>
          <w:color w:val="auto"/>
          <w:sz w:val="22"/>
          <w:szCs w:val="22"/>
        </w:rPr>
        <w:t xml:space="preserve">) </w:t>
      </w:r>
      <w:r w:rsidR="0090395F" w:rsidRPr="00C56272">
        <w:rPr>
          <w:color w:val="auto"/>
          <w:sz w:val="22"/>
          <w:szCs w:val="22"/>
        </w:rPr>
        <w:t xml:space="preserve">que confirman la efectividad de la homeopatía en el “mundo real”, fuera de las condiciones controladas de los ensayos clínicos. </w:t>
      </w:r>
      <w:r w:rsidR="00FB317C" w:rsidRPr="00C56272">
        <w:rPr>
          <w:color w:val="auto"/>
          <w:sz w:val="22"/>
          <w:szCs w:val="22"/>
        </w:rPr>
        <w:t xml:space="preserve">Los resultados de estos estudios muestran consistentemente que alrededor del </w:t>
      </w:r>
      <w:r w:rsidR="00FB317C" w:rsidRPr="00C56272">
        <w:rPr>
          <w:rFonts w:asciiTheme="minorHAnsi" w:hAnsiTheme="minorHAnsi" w:cs="Arial"/>
          <w:color w:val="auto"/>
          <w:sz w:val="22"/>
          <w:szCs w:val="22"/>
        </w:rPr>
        <w:t>70% de los pacientes experimentan mejoría y se benefician del tratamiento homeopático</w:t>
      </w:r>
      <w:r w:rsidR="00DE6871" w:rsidRPr="00C56272">
        <w:rPr>
          <w:rFonts w:asciiTheme="minorHAnsi" w:hAnsiTheme="minorHAnsi" w:cs="Arial"/>
          <w:color w:val="auto"/>
          <w:sz w:val="22"/>
          <w:szCs w:val="22"/>
        </w:rPr>
        <w:t>.</w:t>
      </w:r>
      <w:r w:rsidRPr="00C56272">
        <w:rPr>
          <w:rFonts w:asciiTheme="minorHAnsi" w:hAnsiTheme="minorHAnsi" w:cs="Arial"/>
          <w:color w:val="auto"/>
          <w:sz w:val="22"/>
          <w:szCs w:val="22"/>
        </w:rPr>
        <w:t xml:space="preserve"> </w:t>
      </w:r>
      <w:r w:rsidR="0090395F" w:rsidRPr="00C56272">
        <w:rPr>
          <w:sz w:val="22"/>
          <w:szCs w:val="22"/>
        </w:rPr>
        <w:t>Especialmente interesantes s</w:t>
      </w:r>
      <w:r w:rsidR="00DE6871" w:rsidRPr="00C56272">
        <w:rPr>
          <w:sz w:val="22"/>
          <w:szCs w:val="22"/>
        </w:rPr>
        <w:t>on los estudios provenientes del Hospital Homeopático de Bristol y del Hospital Homeopático de Lucca (Italia)</w:t>
      </w:r>
      <w:r w:rsidR="00FB317C" w:rsidRPr="00C56272">
        <w:rPr>
          <w:sz w:val="22"/>
          <w:szCs w:val="22"/>
        </w:rPr>
        <w:t>.</w:t>
      </w:r>
    </w:p>
    <w:p w:rsidR="00B11A50" w:rsidRPr="0029299D" w:rsidRDefault="00B11A50" w:rsidP="0029299D">
      <w:pPr>
        <w:autoSpaceDE w:val="0"/>
        <w:autoSpaceDN w:val="0"/>
        <w:adjustRightInd w:val="0"/>
        <w:spacing w:after="0" w:line="240" w:lineRule="auto"/>
        <w:rPr>
          <w:rFonts w:ascii="Tahoma" w:hAnsi="Tahoma" w:cs="Tahoma"/>
          <w:color w:val="000000"/>
        </w:rPr>
      </w:pPr>
    </w:p>
    <w:p w:rsidR="00052084" w:rsidRDefault="00052084" w:rsidP="00B11A50">
      <w:pPr>
        <w:spacing w:after="0"/>
        <w:jc w:val="both"/>
        <w:rPr>
          <w:rFonts w:cs="AdvPSA35F"/>
        </w:rPr>
      </w:pPr>
    </w:p>
    <w:p w:rsidR="00B11A50" w:rsidRPr="00C56272" w:rsidRDefault="00B11A50" w:rsidP="00B11A50">
      <w:pPr>
        <w:spacing w:after="0"/>
        <w:jc w:val="both"/>
        <w:rPr>
          <w:rFonts w:cs="Arial"/>
        </w:rPr>
      </w:pPr>
      <w:r w:rsidRPr="00C56272">
        <w:rPr>
          <w:rFonts w:cs="AdvPSA35F"/>
        </w:rPr>
        <w:t xml:space="preserve">Respecto a los </w:t>
      </w:r>
      <w:r w:rsidRPr="00C56272">
        <w:rPr>
          <w:rFonts w:cs="AdvPSA35F"/>
          <w:b/>
          <w:u w:val="single"/>
        </w:rPr>
        <w:t>estudios en veterinaria</w:t>
      </w:r>
      <w:r w:rsidRPr="00C56272">
        <w:rPr>
          <w:rFonts w:cs="AdvPSA35F"/>
        </w:rPr>
        <w:t xml:space="preserve">, DONDE ES ABSURDO PLANTEAR QUE LA HOMEOPATÍA TIENE EFECTO PLACEBO, la Fundación Karl </w:t>
      </w:r>
      <w:proofErr w:type="spellStart"/>
      <w:r w:rsidRPr="00C56272">
        <w:rPr>
          <w:rFonts w:cs="AdvPSA35F"/>
        </w:rPr>
        <w:t>Und</w:t>
      </w:r>
      <w:proofErr w:type="spellEnd"/>
      <w:r w:rsidRPr="00C56272">
        <w:rPr>
          <w:rFonts w:cs="AdvPSA35F"/>
        </w:rPr>
        <w:t xml:space="preserve"> Veronica </w:t>
      </w:r>
      <w:r w:rsidRPr="00C56272">
        <w:t xml:space="preserve">CARSTENS-STIFTUNG </w:t>
      </w:r>
      <w:r w:rsidRPr="00C56272">
        <w:rPr>
          <w:rFonts w:cs="Arial"/>
        </w:rPr>
        <w:t xml:space="preserve">ha llevado a cabo numerosos ensayos en homeopatía veterinaria  y registra hasta la fecha en su banco de datos 471 ensayos </w:t>
      </w:r>
      <w:r w:rsidR="0029299D">
        <w:rPr>
          <w:rFonts w:cs="Arial"/>
          <w:color w:val="0070C0"/>
        </w:rPr>
        <w:t>(</w:t>
      </w:r>
      <w:r w:rsidR="006366B7">
        <w:rPr>
          <w:rFonts w:cs="Arial"/>
          <w:color w:val="0070C0"/>
        </w:rPr>
        <w:t>8</w:t>
      </w:r>
      <w:r w:rsidRPr="00C56272">
        <w:rPr>
          <w:rFonts w:cs="Arial"/>
          <w:color w:val="0070C0"/>
        </w:rPr>
        <w:t>)</w:t>
      </w:r>
      <w:r w:rsidR="00AD38D3" w:rsidRPr="00C56272">
        <w:rPr>
          <w:rFonts w:cs="Arial"/>
          <w:color w:val="0070C0"/>
        </w:rPr>
        <w:t xml:space="preserve">. </w:t>
      </w:r>
      <w:r w:rsidR="00AD38D3" w:rsidRPr="00C56272">
        <w:rPr>
          <w:rFonts w:cs="Arial"/>
        </w:rPr>
        <w:t>Hay también una interesante bibliografía de experimentos realizados en plantas.</w:t>
      </w:r>
    </w:p>
    <w:p w:rsidR="00E80FE8" w:rsidRPr="00C56272" w:rsidRDefault="00E80FE8" w:rsidP="00E80FE8">
      <w:pPr>
        <w:pStyle w:val="Default"/>
        <w:spacing w:line="276" w:lineRule="auto"/>
        <w:jc w:val="both"/>
        <w:rPr>
          <w:sz w:val="22"/>
          <w:szCs w:val="22"/>
        </w:rPr>
      </w:pPr>
    </w:p>
    <w:p w:rsidR="00AD38D3" w:rsidRPr="00C56272" w:rsidRDefault="00000BAF" w:rsidP="00000BAF">
      <w:pPr>
        <w:jc w:val="both"/>
        <w:rPr>
          <w:bCs/>
        </w:rPr>
      </w:pPr>
      <w:r w:rsidRPr="00C56272">
        <w:t xml:space="preserve">El desconocimiento del mecanismo de acción  es la causa esencial del rechazo de la homeopatía y de la creencia que los efectos observados en los tratamientos homeopáticos son producidos por el efecto placebo.  </w:t>
      </w:r>
      <w:r w:rsidR="00E427B2" w:rsidRPr="00C56272">
        <w:rPr>
          <w:bCs/>
        </w:rPr>
        <w:t>A día de hoy</w:t>
      </w:r>
      <w:r w:rsidRPr="00C56272">
        <w:rPr>
          <w:bCs/>
        </w:rPr>
        <w:t xml:space="preserve">, efectivamente, permanece parcialmente desconocido, aunque </w:t>
      </w:r>
      <w:r w:rsidRPr="00C56272">
        <w:rPr>
          <w:b/>
          <w:bCs/>
        </w:rPr>
        <w:t>las aportaciones de la física moderna y de otras ciencias permiten gradualmente ir desvelando el mecanismo de acción</w:t>
      </w:r>
      <w:r w:rsidRPr="00C56272">
        <w:rPr>
          <w:bCs/>
        </w:rPr>
        <w:t xml:space="preserve"> de los medicamentos homeopáticos</w:t>
      </w:r>
      <w:r w:rsidR="00AD38D3" w:rsidRPr="00C56272">
        <w:rPr>
          <w:bCs/>
        </w:rPr>
        <w:t>.</w:t>
      </w:r>
    </w:p>
    <w:p w:rsidR="00AD38D3" w:rsidRPr="00C56272" w:rsidRDefault="00AD38D3" w:rsidP="00000BAF">
      <w:pPr>
        <w:jc w:val="both"/>
        <w:rPr>
          <w:bCs/>
        </w:rPr>
      </w:pPr>
    </w:p>
    <w:p w:rsidR="00000BAF" w:rsidRPr="00C56272" w:rsidRDefault="00000BAF" w:rsidP="00000BAF">
      <w:pPr>
        <w:jc w:val="both"/>
      </w:pPr>
      <w:r w:rsidRPr="00C56272">
        <w:rPr>
          <w:rFonts w:cs="Arial"/>
        </w:rPr>
        <w:t xml:space="preserve">Gracias a la contribución de  muchos investigadores, actualmente se sabe que los medicamentos homeopáticos pueden </w:t>
      </w:r>
      <w:r w:rsidR="00E427B2" w:rsidRPr="00C56272">
        <w:rPr>
          <w:rFonts w:cs="Arial"/>
        </w:rPr>
        <w:t xml:space="preserve">desencadenar </w:t>
      </w:r>
      <w:r w:rsidRPr="00C56272">
        <w:rPr>
          <w:rFonts w:cs="Arial"/>
        </w:rPr>
        <w:t>modifi</w:t>
      </w:r>
      <w:r w:rsidR="00E427B2" w:rsidRPr="00C56272">
        <w:rPr>
          <w:rFonts w:cs="Arial"/>
        </w:rPr>
        <w:t>ca</w:t>
      </w:r>
      <w:r w:rsidRPr="00C56272">
        <w:rPr>
          <w:rFonts w:cs="Arial"/>
        </w:rPr>
        <w:t>c</w:t>
      </w:r>
      <w:r w:rsidR="00E427B2" w:rsidRPr="00C56272">
        <w:rPr>
          <w:rFonts w:cs="Arial"/>
        </w:rPr>
        <w:t xml:space="preserve">iones </w:t>
      </w:r>
      <w:proofErr w:type="spellStart"/>
      <w:r w:rsidR="00E427B2" w:rsidRPr="00C56272">
        <w:rPr>
          <w:rFonts w:cs="Arial"/>
        </w:rPr>
        <w:t>epigenéticas</w:t>
      </w:r>
      <w:proofErr w:type="spellEnd"/>
      <w:r w:rsidR="00E427B2" w:rsidRPr="00C56272">
        <w:rPr>
          <w:rFonts w:cs="Arial"/>
        </w:rPr>
        <w:t xml:space="preserve">, variando </w:t>
      </w:r>
      <w:r w:rsidRPr="00C56272">
        <w:rPr>
          <w:rFonts w:cs="Arial"/>
        </w:rPr>
        <w:t xml:space="preserve"> </w:t>
      </w:r>
      <w:r w:rsidR="00AD38D3" w:rsidRPr="00C56272">
        <w:rPr>
          <w:rFonts w:cs="Arial"/>
        </w:rPr>
        <w:t xml:space="preserve">así </w:t>
      </w:r>
      <w:r w:rsidR="0029299D">
        <w:rPr>
          <w:rFonts w:cs="Arial"/>
        </w:rPr>
        <w:t>la expresión de muchos gene</w:t>
      </w:r>
      <w:r w:rsidR="00052084">
        <w:rPr>
          <w:rFonts w:cs="Arial"/>
        </w:rPr>
        <w:t>s</w:t>
      </w:r>
      <w:r w:rsidRPr="00C56272">
        <w:rPr>
          <w:rFonts w:cs="Arial"/>
        </w:rPr>
        <w:t xml:space="preserve">. </w:t>
      </w:r>
      <w:r w:rsidR="00052084">
        <w:rPr>
          <w:rFonts w:cs="Arial"/>
        </w:rPr>
        <w:t xml:space="preserve"> </w:t>
      </w:r>
      <w:r w:rsidRPr="00C56272">
        <w:rPr>
          <w:rFonts w:cs="Arial"/>
        </w:rPr>
        <w:t>Hay muchos estudios realizados sobre líneas celulares (estudios in vitro) o en modelos animales (estudios in vivo)  que corroboran es</w:t>
      </w:r>
      <w:r w:rsidR="006366B7">
        <w:rPr>
          <w:rFonts w:cs="Arial"/>
        </w:rPr>
        <w:t>te hecho (</w:t>
      </w:r>
      <w:r w:rsidR="006366B7" w:rsidRPr="006366B7">
        <w:rPr>
          <w:rFonts w:cs="Arial"/>
          <w:color w:val="00B0F0"/>
        </w:rPr>
        <w:t>1</w:t>
      </w:r>
      <w:r w:rsidR="006366B7">
        <w:rPr>
          <w:rFonts w:cs="Arial"/>
          <w:color w:val="00B0F0"/>
        </w:rPr>
        <w:t>5</w:t>
      </w:r>
      <w:r w:rsidR="006366B7">
        <w:rPr>
          <w:rFonts w:cs="Arial"/>
        </w:rPr>
        <w:t>)</w:t>
      </w:r>
    </w:p>
    <w:p w:rsidR="00000BAF" w:rsidRPr="00C56272" w:rsidRDefault="00000BAF" w:rsidP="00000BAF">
      <w:pPr>
        <w:spacing w:after="0"/>
        <w:jc w:val="both"/>
      </w:pPr>
    </w:p>
    <w:p w:rsidR="00CC37E1" w:rsidRPr="00C56272" w:rsidRDefault="00AD38D3" w:rsidP="00AD38D3">
      <w:pPr>
        <w:jc w:val="both"/>
        <w:rPr>
          <w:rFonts w:cs="Tahoma"/>
        </w:rPr>
      </w:pPr>
      <w:r w:rsidRPr="00C56272">
        <w:rPr>
          <w:rFonts w:cs="Tahoma"/>
        </w:rPr>
        <w:t>Actualmente se tiene claro</w:t>
      </w:r>
      <w:r w:rsidR="00000BAF" w:rsidRPr="00C56272">
        <w:rPr>
          <w:rFonts w:cs="Tahoma"/>
        </w:rPr>
        <w:t xml:space="preserve">  que la actividad biológica de las diluciones </w:t>
      </w:r>
      <w:r w:rsidRPr="00C56272">
        <w:rPr>
          <w:rFonts w:cs="Tahoma"/>
        </w:rPr>
        <w:t xml:space="preserve">homeopáticas </w:t>
      </w:r>
      <w:r w:rsidR="00000BAF" w:rsidRPr="00C56272">
        <w:rPr>
          <w:rFonts w:cs="Tahoma"/>
        </w:rPr>
        <w:t xml:space="preserve">no se debe a su estructura química sino a su naturaleza física. La actual evidencia indica que la estructura del agua y sus solutos en términos de </w:t>
      </w:r>
      <w:proofErr w:type="spellStart"/>
      <w:r w:rsidR="00000BAF" w:rsidRPr="00C56272">
        <w:rPr>
          <w:rFonts w:cs="Tahoma"/>
        </w:rPr>
        <w:t>nanopartículas</w:t>
      </w:r>
      <w:proofErr w:type="spellEnd"/>
      <w:r w:rsidR="00000BAF" w:rsidRPr="00C56272">
        <w:rPr>
          <w:rFonts w:cs="Tahoma"/>
        </w:rPr>
        <w:t xml:space="preserve"> juegan un papel  muy importante.</w:t>
      </w:r>
      <w:r w:rsidR="00E427B2" w:rsidRPr="00C56272">
        <w:rPr>
          <w:rFonts w:cs="Tahoma"/>
        </w:rPr>
        <w:t xml:space="preserve"> S</w:t>
      </w:r>
      <w:r w:rsidR="00000BAF" w:rsidRPr="00C56272">
        <w:rPr>
          <w:rFonts w:cs="Tahoma"/>
        </w:rPr>
        <w:t xml:space="preserve">e </w:t>
      </w:r>
      <w:r w:rsidR="00E427B2" w:rsidRPr="00C56272">
        <w:rPr>
          <w:rFonts w:cs="Tahoma"/>
        </w:rPr>
        <w:t>ha conseguido</w:t>
      </w:r>
      <w:r w:rsidR="00E427B2" w:rsidRPr="00C56272">
        <w:rPr>
          <w:rFonts w:cs="Tahoma"/>
          <w:b/>
        </w:rPr>
        <w:t xml:space="preserve">  evidenciar la presencia de </w:t>
      </w:r>
      <w:proofErr w:type="spellStart"/>
      <w:r w:rsidR="00E427B2" w:rsidRPr="00C56272">
        <w:rPr>
          <w:rFonts w:cs="Tahoma"/>
          <w:b/>
        </w:rPr>
        <w:t>nanopartículas</w:t>
      </w:r>
      <w:proofErr w:type="spellEnd"/>
      <w:r w:rsidR="00E427B2" w:rsidRPr="00C56272">
        <w:rPr>
          <w:rFonts w:cs="Tahoma"/>
          <w:b/>
        </w:rPr>
        <w:t xml:space="preserve"> de las sustancias de partida, incluso en diluciones muy altas</w:t>
      </w:r>
      <w:r w:rsidR="00E427B2" w:rsidRPr="00C56272">
        <w:rPr>
          <w:rFonts w:cs="Tahoma"/>
        </w:rPr>
        <w:t xml:space="preserve"> superiores a la 12 CH, es decir, diluciones que sobrepasan el Nº de Avogadro, mediante</w:t>
      </w:r>
      <w:r w:rsidR="00000BAF" w:rsidRPr="00C56272">
        <w:rPr>
          <w:rFonts w:cs="Tahoma"/>
        </w:rPr>
        <w:t xml:space="preserve"> microscopía electrónica de transmisión asociada a otras técnicas</w:t>
      </w:r>
      <w:r w:rsidR="0029299D">
        <w:rPr>
          <w:rFonts w:cs="Tahoma"/>
        </w:rPr>
        <w:t>.</w:t>
      </w:r>
    </w:p>
    <w:p w:rsidR="00FB317C" w:rsidRDefault="00FB317C"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513DC6" w:rsidRDefault="00513DC6" w:rsidP="000550FD">
      <w:pPr>
        <w:pStyle w:val="Default"/>
        <w:spacing w:line="276" w:lineRule="auto"/>
        <w:jc w:val="both"/>
        <w:rPr>
          <w:color w:val="auto"/>
          <w:sz w:val="22"/>
          <w:szCs w:val="22"/>
        </w:rPr>
      </w:pPr>
    </w:p>
    <w:p w:rsidR="00443363" w:rsidRDefault="00443363" w:rsidP="000550FD">
      <w:pPr>
        <w:pStyle w:val="Default"/>
        <w:spacing w:line="276" w:lineRule="auto"/>
        <w:jc w:val="both"/>
        <w:rPr>
          <w:color w:val="auto"/>
          <w:sz w:val="22"/>
          <w:szCs w:val="22"/>
        </w:rPr>
      </w:pPr>
    </w:p>
    <w:p w:rsidR="00E80FE8" w:rsidRPr="00C56272" w:rsidRDefault="00E427B2" w:rsidP="00E427B2">
      <w:pPr>
        <w:pStyle w:val="Default"/>
        <w:numPr>
          <w:ilvl w:val="0"/>
          <w:numId w:val="21"/>
        </w:numPr>
        <w:spacing w:line="276" w:lineRule="auto"/>
        <w:jc w:val="both"/>
        <w:rPr>
          <w:b/>
          <w:color w:val="auto"/>
          <w:sz w:val="22"/>
          <w:szCs w:val="22"/>
          <w:u w:val="single"/>
        </w:rPr>
      </w:pPr>
      <w:r w:rsidRPr="00C56272">
        <w:rPr>
          <w:b/>
          <w:color w:val="auto"/>
          <w:sz w:val="22"/>
          <w:szCs w:val="22"/>
          <w:u w:val="single"/>
        </w:rPr>
        <w:lastRenderedPageBreak/>
        <w:t xml:space="preserve"> </w:t>
      </w:r>
      <w:r w:rsidR="00E80FE8" w:rsidRPr="00C56272">
        <w:rPr>
          <w:b/>
          <w:color w:val="auto"/>
          <w:sz w:val="22"/>
          <w:szCs w:val="22"/>
          <w:u w:val="single"/>
        </w:rPr>
        <w:t>Respecto al riesgo de su utilización y a la pérdida de oportunidad asistencial:</w:t>
      </w:r>
    </w:p>
    <w:p w:rsidR="00E80FE8" w:rsidRPr="00C56272" w:rsidRDefault="00E80FE8" w:rsidP="00E80FE8">
      <w:pPr>
        <w:pStyle w:val="Default"/>
        <w:spacing w:line="276" w:lineRule="auto"/>
        <w:ind w:left="360"/>
        <w:jc w:val="both"/>
        <w:rPr>
          <w:color w:val="auto"/>
          <w:sz w:val="22"/>
          <w:szCs w:val="22"/>
        </w:rPr>
      </w:pPr>
    </w:p>
    <w:p w:rsidR="00FB317C" w:rsidRDefault="00FB317C" w:rsidP="000550FD">
      <w:pPr>
        <w:pStyle w:val="Default"/>
        <w:numPr>
          <w:ilvl w:val="0"/>
          <w:numId w:val="18"/>
        </w:numPr>
        <w:spacing w:line="276" w:lineRule="auto"/>
        <w:jc w:val="both"/>
        <w:rPr>
          <w:sz w:val="22"/>
          <w:szCs w:val="22"/>
        </w:rPr>
      </w:pPr>
      <w:r w:rsidRPr="00C56272">
        <w:rPr>
          <w:sz w:val="22"/>
          <w:szCs w:val="22"/>
        </w:rPr>
        <w:t xml:space="preserve">Es importante destacar que estos medicamentos se encuentran comercializados desde hace ya más de 30 años en España, siendo mínima la notificación de reacciones adversas. En los estudios realizados ha quedado demostrado que existe </w:t>
      </w:r>
      <w:r w:rsidRPr="00C56272">
        <w:rPr>
          <w:b/>
          <w:bCs/>
          <w:sz w:val="22"/>
          <w:szCs w:val="22"/>
        </w:rPr>
        <w:t>muy baja incidencia de reacciones adversas y efectos secundarios por la toma de medicamentos homeopáticos</w:t>
      </w:r>
      <w:r w:rsidRPr="00C56272">
        <w:rPr>
          <w:sz w:val="22"/>
          <w:szCs w:val="22"/>
        </w:rPr>
        <w:t>. Además los efectos adversos fueron leves y transitorios (</w:t>
      </w:r>
      <w:r w:rsidR="000D22F1">
        <w:rPr>
          <w:color w:val="0000FF"/>
          <w:sz w:val="22"/>
          <w:szCs w:val="22"/>
        </w:rPr>
        <w:t>21</w:t>
      </w:r>
      <w:proofErr w:type="gramStart"/>
      <w:r w:rsidRPr="00C56272">
        <w:rPr>
          <w:sz w:val="22"/>
          <w:szCs w:val="22"/>
        </w:rPr>
        <w:t xml:space="preserve">) </w:t>
      </w:r>
      <w:r w:rsidR="0029299D">
        <w:rPr>
          <w:sz w:val="22"/>
          <w:szCs w:val="22"/>
        </w:rPr>
        <w:t>.</w:t>
      </w:r>
      <w:proofErr w:type="gramEnd"/>
    </w:p>
    <w:p w:rsidR="0029299D" w:rsidRPr="0029299D" w:rsidRDefault="0029299D" w:rsidP="0029299D">
      <w:pPr>
        <w:pStyle w:val="Default"/>
        <w:spacing w:line="276" w:lineRule="auto"/>
        <w:ind w:left="720"/>
        <w:jc w:val="both"/>
        <w:rPr>
          <w:sz w:val="22"/>
          <w:szCs w:val="22"/>
        </w:rPr>
      </w:pPr>
    </w:p>
    <w:p w:rsidR="00FB317C" w:rsidRPr="00C56272" w:rsidRDefault="00FB317C" w:rsidP="00E305B8">
      <w:pPr>
        <w:pStyle w:val="Default"/>
        <w:spacing w:line="276" w:lineRule="auto"/>
        <w:ind w:left="720"/>
        <w:jc w:val="both"/>
        <w:rPr>
          <w:sz w:val="22"/>
          <w:szCs w:val="22"/>
        </w:rPr>
      </w:pPr>
      <w:r w:rsidRPr="00C56272">
        <w:rPr>
          <w:sz w:val="22"/>
          <w:szCs w:val="22"/>
        </w:rPr>
        <w:t xml:space="preserve">Las evidencias hasta la fecha avalan la escasa toxicidad de los medicamentos homeopáticos, sobre todo en comparación con los medicamentos convencionales. </w:t>
      </w:r>
    </w:p>
    <w:p w:rsidR="00E305B8" w:rsidRPr="00C56272" w:rsidRDefault="00E305B8" w:rsidP="00E305B8">
      <w:pPr>
        <w:pStyle w:val="Default"/>
        <w:spacing w:line="276" w:lineRule="auto"/>
        <w:ind w:left="720"/>
        <w:jc w:val="both"/>
        <w:rPr>
          <w:sz w:val="22"/>
          <w:szCs w:val="22"/>
        </w:rPr>
      </w:pPr>
    </w:p>
    <w:p w:rsidR="00FB317C" w:rsidRPr="00C56272" w:rsidRDefault="00FB317C" w:rsidP="00E305B8">
      <w:pPr>
        <w:pStyle w:val="Default"/>
        <w:spacing w:line="276" w:lineRule="auto"/>
        <w:ind w:left="708"/>
        <w:jc w:val="both"/>
        <w:rPr>
          <w:sz w:val="22"/>
          <w:szCs w:val="22"/>
        </w:rPr>
      </w:pPr>
      <w:r w:rsidRPr="00C56272">
        <w:rPr>
          <w:sz w:val="22"/>
          <w:szCs w:val="22"/>
        </w:rPr>
        <w:t xml:space="preserve">Parece claro que los medicamentos homeopáticos son seguros, difícilmente capaces de provocar reacciones adversas graves, y presentan un riesgo </w:t>
      </w:r>
      <w:r w:rsidR="00E305B8" w:rsidRPr="00C56272">
        <w:rPr>
          <w:sz w:val="22"/>
          <w:szCs w:val="22"/>
        </w:rPr>
        <w:t>mínimo</w:t>
      </w:r>
      <w:r w:rsidRPr="00C56272">
        <w:rPr>
          <w:sz w:val="22"/>
          <w:szCs w:val="22"/>
        </w:rPr>
        <w:t xml:space="preserve"> de interacciones farmacológicas. </w:t>
      </w:r>
    </w:p>
    <w:p w:rsidR="00FB317C" w:rsidRPr="00C56272" w:rsidRDefault="00FB317C" w:rsidP="00FB317C">
      <w:pPr>
        <w:pStyle w:val="Default"/>
        <w:ind w:left="708"/>
        <w:jc w:val="both"/>
        <w:rPr>
          <w:sz w:val="22"/>
          <w:szCs w:val="22"/>
        </w:rPr>
      </w:pPr>
    </w:p>
    <w:p w:rsidR="00443363" w:rsidRDefault="00443363" w:rsidP="00FB317C">
      <w:pPr>
        <w:pStyle w:val="Default"/>
        <w:spacing w:line="276" w:lineRule="auto"/>
        <w:ind w:left="708"/>
        <w:jc w:val="both"/>
        <w:rPr>
          <w:sz w:val="22"/>
          <w:szCs w:val="22"/>
        </w:rPr>
      </w:pPr>
    </w:p>
    <w:p w:rsidR="00FB317C" w:rsidRDefault="00FB317C" w:rsidP="00FB317C">
      <w:pPr>
        <w:pStyle w:val="Default"/>
        <w:spacing w:line="276" w:lineRule="auto"/>
        <w:ind w:left="708"/>
        <w:jc w:val="both"/>
        <w:rPr>
          <w:sz w:val="22"/>
          <w:szCs w:val="22"/>
        </w:rPr>
      </w:pPr>
      <w:r w:rsidRPr="00C56272">
        <w:rPr>
          <w:sz w:val="22"/>
          <w:szCs w:val="22"/>
        </w:rPr>
        <w:t>En contraposición, el uso de medicamentos, productos o intervenciones sanitarias validadas</w:t>
      </w:r>
      <w:r w:rsidR="00CC37E1" w:rsidRPr="00C56272">
        <w:rPr>
          <w:sz w:val="22"/>
          <w:szCs w:val="22"/>
        </w:rPr>
        <w:t xml:space="preserve"> en la medicina convencional</w:t>
      </w:r>
      <w:r w:rsidRPr="00C56272">
        <w:rPr>
          <w:sz w:val="22"/>
          <w:szCs w:val="22"/>
        </w:rPr>
        <w:t>, no exime de que af</w:t>
      </w:r>
      <w:r w:rsidR="00CC37E1" w:rsidRPr="00C56272">
        <w:rPr>
          <w:sz w:val="22"/>
          <w:szCs w:val="22"/>
        </w:rPr>
        <w:t xml:space="preserve">ecten negativamente a la </w:t>
      </w:r>
      <w:proofErr w:type="gramStart"/>
      <w:r w:rsidR="00CC37E1" w:rsidRPr="00C56272">
        <w:rPr>
          <w:sz w:val="22"/>
          <w:szCs w:val="22"/>
        </w:rPr>
        <w:t>salud .</w:t>
      </w:r>
      <w:proofErr w:type="gramEnd"/>
      <w:r w:rsidRPr="00C56272">
        <w:rPr>
          <w:sz w:val="22"/>
          <w:szCs w:val="22"/>
        </w:rPr>
        <w:t xml:space="preserve"> De hecho los </w:t>
      </w:r>
      <w:r w:rsidRPr="00C56272">
        <w:rPr>
          <w:b/>
          <w:bCs/>
          <w:sz w:val="22"/>
          <w:szCs w:val="22"/>
        </w:rPr>
        <w:t xml:space="preserve">eventos adversos </w:t>
      </w:r>
      <w:r w:rsidRPr="00C56272">
        <w:rPr>
          <w:sz w:val="22"/>
          <w:szCs w:val="22"/>
        </w:rPr>
        <w:t>de las inte</w:t>
      </w:r>
      <w:r w:rsidR="00CC37E1" w:rsidRPr="00C56272">
        <w:rPr>
          <w:sz w:val="22"/>
          <w:szCs w:val="22"/>
        </w:rPr>
        <w:t>rvenciones médicas y sanitarias</w:t>
      </w:r>
      <w:r w:rsidRPr="00C56272">
        <w:rPr>
          <w:sz w:val="22"/>
          <w:szCs w:val="22"/>
        </w:rPr>
        <w:t xml:space="preserve"> </w:t>
      </w:r>
      <w:r w:rsidR="00E305B8" w:rsidRPr="00C56272">
        <w:rPr>
          <w:sz w:val="22"/>
          <w:szCs w:val="22"/>
        </w:rPr>
        <w:t>tienen</w:t>
      </w:r>
      <w:r w:rsidR="00CC37E1" w:rsidRPr="00C56272">
        <w:rPr>
          <w:sz w:val="22"/>
          <w:szCs w:val="22"/>
        </w:rPr>
        <w:t>,</w:t>
      </w:r>
      <w:r w:rsidRPr="00C56272">
        <w:rPr>
          <w:sz w:val="22"/>
          <w:szCs w:val="22"/>
        </w:rPr>
        <w:t xml:space="preserve"> según las estimaciones disponibles, un impacto muy relevante sobre la salud, la organización de los servicios sanitarios y la economía, y se trata de un problema prioritario de salud pública mundial (</w:t>
      </w:r>
      <w:r w:rsidR="000D22F1">
        <w:rPr>
          <w:color w:val="0000FF"/>
          <w:sz w:val="22"/>
          <w:szCs w:val="22"/>
        </w:rPr>
        <w:t>22</w:t>
      </w:r>
      <w:r w:rsidRPr="00C56272">
        <w:rPr>
          <w:sz w:val="22"/>
          <w:szCs w:val="22"/>
        </w:rPr>
        <w:t>).</w:t>
      </w:r>
    </w:p>
    <w:p w:rsidR="00443363" w:rsidRDefault="00443363" w:rsidP="00FB317C">
      <w:pPr>
        <w:pStyle w:val="Default"/>
        <w:spacing w:line="276" w:lineRule="auto"/>
        <w:ind w:left="708"/>
        <w:jc w:val="both"/>
        <w:rPr>
          <w:sz w:val="22"/>
          <w:szCs w:val="22"/>
        </w:rPr>
      </w:pPr>
    </w:p>
    <w:p w:rsidR="00443363" w:rsidRPr="00C56272" w:rsidRDefault="00443363" w:rsidP="00FB317C">
      <w:pPr>
        <w:pStyle w:val="Default"/>
        <w:spacing w:line="276" w:lineRule="auto"/>
        <w:ind w:left="708"/>
        <w:jc w:val="both"/>
        <w:rPr>
          <w:color w:val="auto"/>
          <w:sz w:val="22"/>
          <w:szCs w:val="22"/>
        </w:rPr>
      </w:pPr>
      <w:r>
        <w:rPr>
          <w:sz w:val="23"/>
          <w:szCs w:val="23"/>
        </w:rPr>
        <w:t>La creencia generalizada en la supuesta infalibilidad de la ciencia médica sustenta las expectativas de un resultado perfecto y tiende a aumentar el riesgo de errores y fallos. Tales expectativas, generalmente exageradas, impulsan una utilización de las prestaciones sanitarias frecuentemente innecesaria, nociva por su extensión y, por ello, multiplicadora de los riesgos de iatrogenia</w:t>
      </w:r>
      <w:r w:rsidR="00513DC6">
        <w:rPr>
          <w:sz w:val="23"/>
          <w:szCs w:val="23"/>
        </w:rPr>
        <w:t xml:space="preserve"> (</w:t>
      </w:r>
      <w:r w:rsidR="00513DC6" w:rsidRPr="00513DC6">
        <w:rPr>
          <w:color w:val="00B0F0"/>
          <w:sz w:val="23"/>
          <w:szCs w:val="23"/>
        </w:rPr>
        <w:t>22</w:t>
      </w:r>
      <w:r w:rsidR="00513DC6">
        <w:rPr>
          <w:sz w:val="23"/>
          <w:szCs w:val="23"/>
        </w:rPr>
        <w:t>)</w:t>
      </w:r>
    </w:p>
    <w:p w:rsidR="00FB317C" w:rsidRPr="00C56272" w:rsidRDefault="00FB317C" w:rsidP="000550FD">
      <w:pPr>
        <w:pStyle w:val="Default"/>
        <w:spacing w:line="276" w:lineRule="auto"/>
        <w:jc w:val="both"/>
        <w:rPr>
          <w:color w:val="auto"/>
          <w:sz w:val="22"/>
          <w:szCs w:val="22"/>
        </w:rPr>
      </w:pPr>
    </w:p>
    <w:p w:rsidR="00E2551A" w:rsidRPr="00414B64" w:rsidRDefault="00E2551A" w:rsidP="008A28D7">
      <w:pPr>
        <w:pStyle w:val="Default"/>
        <w:spacing w:line="276" w:lineRule="auto"/>
        <w:ind w:left="708"/>
        <w:jc w:val="both"/>
        <w:rPr>
          <w:sz w:val="22"/>
          <w:szCs w:val="22"/>
        </w:rPr>
      </w:pPr>
      <w:r w:rsidRPr="00C56272">
        <w:rPr>
          <w:sz w:val="22"/>
          <w:szCs w:val="22"/>
        </w:rPr>
        <w:t>Un estudio realizado por la Comisión Europea en el año 2016 (</w:t>
      </w:r>
      <w:r w:rsidR="00FC6294">
        <w:rPr>
          <w:color w:val="0000FF"/>
          <w:sz w:val="22"/>
          <w:szCs w:val="22"/>
        </w:rPr>
        <w:t>23</w:t>
      </w:r>
      <w:r w:rsidRPr="00414B64">
        <w:rPr>
          <w:color w:val="0000FF"/>
          <w:sz w:val="22"/>
          <w:szCs w:val="22"/>
        </w:rPr>
        <w:t>)</w:t>
      </w:r>
      <w:r w:rsidRPr="00C56272">
        <w:rPr>
          <w:sz w:val="22"/>
          <w:szCs w:val="22"/>
        </w:rPr>
        <w:t xml:space="preserve"> muestra que la </w:t>
      </w:r>
      <w:r w:rsidR="008A28D7">
        <w:rPr>
          <w:sz w:val="22"/>
          <w:szCs w:val="22"/>
        </w:rPr>
        <w:t>p</w:t>
      </w:r>
      <w:r w:rsidRPr="00C56272">
        <w:rPr>
          <w:sz w:val="22"/>
          <w:szCs w:val="22"/>
        </w:rPr>
        <w:t>revalencia de efectos adversos es</w:t>
      </w:r>
      <w:r w:rsidR="00414B64">
        <w:rPr>
          <w:sz w:val="22"/>
          <w:szCs w:val="22"/>
        </w:rPr>
        <w:t xml:space="preserve"> del 4 al 17% de los pacientes.</w:t>
      </w:r>
    </w:p>
    <w:p w:rsidR="00FB317C" w:rsidRDefault="00FB317C" w:rsidP="008A28D7">
      <w:pPr>
        <w:pStyle w:val="Default"/>
        <w:spacing w:line="276" w:lineRule="auto"/>
        <w:jc w:val="both"/>
        <w:rPr>
          <w:color w:val="auto"/>
          <w:sz w:val="22"/>
          <w:szCs w:val="22"/>
        </w:rPr>
      </w:pPr>
    </w:p>
    <w:p w:rsidR="00513DC6" w:rsidRDefault="00513DC6" w:rsidP="00513DC6">
      <w:pPr>
        <w:pStyle w:val="Default"/>
        <w:spacing w:line="276" w:lineRule="auto"/>
        <w:ind w:left="708"/>
        <w:rPr>
          <w:sz w:val="23"/>
          <w:szCs w:val="23"/>
        </w:rPr>
      </w:pPr>
      <w:r>
        <w:rPr>
          <w:sz w:val="23"/>
          <w:szCs w:val="23"/>
        </w:rPr>
        <w:t xml:space="preserve">Según un </w:t>
      </w:r>
      <w:proofErr w:type="spellStart"/>
      <w:r>
        <w:rPr>
          <w:sz w:val="23"/>
          <w:szCs w:val="23"/>
        </w:rPr>
        <w:t>metaanálisis</w:t>
      </w:r>
      <w:proofErr w:type="spellEnd"/>
      <w:r>
        <w:rPr>
          <w:sz w:val="23"/>
          <w:szCs w:val="23"/>
        </w:rPr>
        <w:t xml:space="preserve"> reciente de 22 estudios, en Europa los efectos adversos son responsables: </w:t>
      </w:r>
    </w:p>
    <w:p w:rsidR="00513DC6" w:rsidRDefault="00513DC6" w:rsidP="00513DC6">
      <w:pPr>
        <w:pStyle w:val="Default"/>
        <w:spacing w:line="276" w:lineRule="auto"/>
        <w:ind w:left="708"/>
        <w:rPr>
          <w:sz w:val="23"/>
          <w:szCs w:val="23"/>
        </w:rPr>
      </w:pPr>
      <w:r>
        <w:rPr>
          <w:sz w:val="23"/>
          <w:szCs w:val="23"/>
        </w:rPr>
        <w:t xml:space="preserve">• De un 3,6% de los ingresos hospitalarios en la población general, con una letalidad de 0,05%, </w:t>
      </w:r>
    </w:p>
    <w:p w:rsidR="00513DC6" w:rsidRDefault="00513DC6" w:rsidP="00513DC6">
      <w:pPr>
        <w:pStyle w:val="Default"/>
        <w:spacing w:line="276" w:lineRule="auto"/>
        <w:ind w:firstLine="708"/>
        <w:rPr>
          <w:sz w:val="23"/>
          <w:szCs w:val="23"/>
        </w:rPr>
      </w:pPr>
      <w:r>
        <w:rPr>
          <w:sz w:val="23"/>
          <w:szCs w:val="23"/>
        </w:rPr>
        <w:t xml:space="preserve">• De un 12,3% de los ingresos hospitalarios de los mayores de 65 años, </w:t>
      </w:r>
    </w:p>
    <w:p w:rsidR="00513DC6" w:rsidRDefault="00513DC6" w:rsidP="00513DC6">
      <w:pPr>
        <w:pStyle w:val="Default"/>
        <w:spacing w:line="276" w:lineRule="auto"/>
        <w:ind w:firstLine="708"/>
        <w:rPr>
          <w:sz w:val="23"/>
          <w:szCs w:val="23"/>
        </w:rPr>
      </w:pPr>
      <w:r>
        <w:rPr>
          <w:sz w:val="23"/>
          <w:szCs w:val="23"/>
        </w:rPr>
        <w:t xml:space="preserve">• afectan a un 10,1% de los pacientes hospitalizados, con una letalidad de 0,5%. </w:t>
      </w:r>
    </w:p>
    <w:p w:rsidR="00513DC6" w:rsidRDefault="00513DC6" w:rsidP="00513DC6">
      <w:pPr>
        <w:pStyle w:val="Default"/>
        <w:spacing w:line="276" w:lineRule="auto"/>
        <w:ind w:left="708"/>
        <w:jc w:val="both"/>
        <w:rPr>
          <w:color w:val="auto"/>
          <w:sz w:val="22"/>
          <w:szCs w:val="22"/>
        </w:rPr>
      </w:pPr>
      <w:r>
        <w:rPr>
          <w:sz w:val="23"/>
          <w:szCs w:val="23"/>
        </w:rPr>
        <w:t>Dado que en Europa hay 83,6 millones de ingresos hospitalarios anuales, esto se traduciría en 42.000 muertes anuales por efectos adversos solo en pacientes hospitalizados, y unas 15.000 en servicios de urgencias, es decir, unas 67.000 muertes anuales, sin contar las que no llegan a un servicio hospitalario. Estas cifras son seguramente infraestimaciones.</w:t>
      </w:r>
    </w:p>
    <w:p w:rsidR="00513DC6" w:rsidRDefault="00513DC6" w:rsidP="00513DC6">
      <w:pPr>
        <w:pStyle w:val="Default"/>
        <w:spacing w:line="276" w:lineRule="auto"/>
        <w:jc w:val="both"/>
        <w:rPr>
          <w:color w:val="auto"/>
          <w:sz w:val="22"/>
          <w:szCs w:val="22"/>
        </w:rPr>
      </w:pPr>
    </w:p>
    <w:p w:rsidR="00513DC6" w:rsidRDefault="00513DC6" w:rsidP="00513DC6">
      <w:pPr>
        <w:pStyle w:val="Default"/>
        <w:spacing w:line="276" w:lineRule="auto"/>
        <w:ind w:left="708"/>
        <w:jc w:val="both"/>
        <w:rPr>
          <w:sz w:val="22"/>
          <w:szCs w:val="22"/>
        </w:rPr>
      </w:pPr>
      <w:r w:rsidRPr="00513DC6">
        <w:rPr>
          <w:sz w:val="22"/>
          <w:szCs w:val="22"/>
        </w:rPr>
        <w:t>En España, la Sociedad Española de Salud Pública y Administración Sanitaria (</w:t>
      </w:r>
      <w:proofErr w:type="spellStart"/>
      <w:r w:rsidRPr="00513DC6">
        <w:rPr>
          <w:sz w:val="22"/>
          <w:szCs w:val="22"/>
        </w:rPr>
        <w:t>Sespas</w:t>
      </w:r>
      <w:proofErr w:type="spellEnd"/>
      <w:r w:rsidRPr="00513DC6">
        <w:rPr>
          <w:sz w:val="22"/>
          <w:szCs w:val="22"/>
        </w:rPr>
        <w:t xml:space="preserve">) y la Organización Médica Colegial (OMC) han solicitado incluir la iatrogenia en la agenda política sanitaria para que se reconozca como un problema “relevante de salud pública”. </w:t>
      </w:r>
    </w:p>
    <w:p w:rsidR="00513DC6" w:rsidRPr="00513DC6" w:rsidRDefault="00513DC6" w:rsidP="00513DC6">
      <w:pPr>
        <w:pStyle w:val="Default"/>
        <w:spacing w:line="276" w:lineRule="auto"/>
        <w:jc w:val="both"/>
        <w:rPr>
          <w:sz w:val="22"/>
          <w:szCs w:val="22"/>
        </w:rPr>
      </w:pPr>
    </w:p>
    <w:p w:rsidR="00513DC6" w:rsidRPr="00513DC6" w:rsidRDefault="00513DC6" w:rsidP="00513DC6">
      <w:pPr>
        <w:pStyle w:val="Default"/>
        <w:spacing w:line="276" w:lineRule="auto"/>
        <w:ind w:left="708"/>
        <w:jc w:val="both"/>
        <w:rPr>
          <w:sz w:val="22"/>
          <w:szCs w:val="22"/>
        </w:rPr>
      </w:pPr>
      <w:r w:rsidRPr="00513DC6">
        <w:rPr>
          <w:sz w:val="22"/>
          <w:szCs w:val="22"/>
        </w:rPr>
        <w:t>En el estudio ENEAS, realizado en el ámbito hospitalario español, la incidencia estimada de pacientes con eventos adversos fue 9,3%; el estudio APEAS, realizado en el nivel asistencial, mostró que la prevalencia en las consultas de atención primaria fue 11,2‰. El riesgo de sufrir un evento adverso en unidades de cuidados intensivos fue del 40% y en pacientes atendidos en los servicios de urgencias, el 7,2% (</w:t>
      </w:r>
      <w:r w:rsidRPr="00513DC6">
        <w:rPr>
          <w:color w:val="00B0F0"/>
          <w:sz w:val="22"/>
          <w:szCs w:val="22"/>
        </w:rPr>
        <w:t>22</w:t>
      </w:r>
      <w:r w:rsidRPr="00513DC6">
        <w:rPr>
          <w:sz w:val="22"/>
          <w:szCs w:val="22"/>
        </w:rPr>
        <w:t xml:space="preserve">) Hay que tener en cuenta que, aunque en los últimos años ha aumentado paulatinamente la cifra de eventos adversos notificados en nuestro país, su </w:t>
      </w:r>
      <w:proofErr w:type="spellStart"/>
      <w:r w:rsidRPr="00513DC6">
        <w:rPr>
          <w:sz w:val="22"/>
          <w:szCs w:val="22"/>
        </w:rPr>
        <w:t>subnotificación</w:t>
      </w:r>
      <w:proofErr w:type="spellEnd"/>
      <w:r w:rsidRPr="00513DC6">
        <w:rPr>
          <w:sz w:val="22"/>
          <w:szCs w:val="22"/>
        </w:rPr>
        <w:t xml:space="preserve"> continúa siendo notable. </w:t>
      </w:r>
    </w:p>
    <w:p w:rsidR="00513DC6" w:rsidRPr="00513DC6" w:rsidRDefault="00513DC6" w:rsidP="00513DC6">
      <w:pPr>
        <w:pStyle w:val="Default"/>
        <w:spacing w:line="276" w:lineRule="auto"/>
        <w:jc w:val="both"/>
        <w:rPr>
          <w:sz w:val="22"/>
          <w:szCs w:val="22"/>
        </w:rPr>
      </w:pPr>
    </w:p>
    <w:p w:rsidR="00513DC6" w:rsidRPr="000246E1" w:rsidRDefault="00513DC6" w:rsidP="00513DC6">
      <w:pPr>
        <w:pStyle w:val="Default"/>
        <w:spacing w:line="276" w:lineRule="auto"/>
        <w:ind w:left="708"/>
        <w:jc w:val="both"/>
        <w:rPr>
          <w:color w:val="auto"/>
          <w:sz w:val="22"/>
          <w:szCs w:val="22"/>
        </w:rPr>
      </w:pPr>
      <w:r w:rsidRPr="00513DC6">
        <w:rPr>
          <w:sz w:val="22"/>
          <w:szCs w:val="22"/>
        </w:rPr>
        <w:t>El uso de medicamentos puede producir efectos muy favorables sobre la salud individual y colectiva, pero también es causa de efectos adversos que pueden ser graves. Desde los años setenta se han desarrollado legislaciones y normativas tendentes a proteger la salud pública, a menudo como reacción a accidentes masivos. A pesar de ello, los efectos adversos de los medicamentos son una causa creciente de enfermedad, incapacidad y muerte, y son un problema cada día más frecuente causado por su consumo creciente</w:t>
      </w:r>
      <w:r>
        <w:rPr>
          <w:sz w:val="23"/>
          <w:szCs w:val="23"/>
        </w:rPr>
        <w:t xml:space="preserve"> </w:t>
      </w:r>
      <w:r w:rsidRPr="00C56272">
        <w:rPr>
          <w:sz w:val="22"/>
          <w:szCs w:val="22"/>
        </w:rPr>
        <w:t>(</w:t>
      </w:r>
      <w:r>
        <w:rPr>
          <w:color w:val="0000FF"/>
          <w:sz w:val="22"/>
          <w:szCs w:val="22"/>
        </w:rPr>
        <w:t>24</w:t>
      </w:r>
      <w:r w:rsidRPr="00C56272">
        <w:rPr>
          <w:sz w:val="22"/>
          <w:szCs w:val="22"/>
        </w:rPr>
        <w:t>).</w:t>
      </w:r>
    </w:p>
    <w:p w:rsidR="00513DC6" w:rsidRDefault="00513DC6" w:rsidP="00414B64">
      <w:pPr>
        <w:pStyle w:val="Default"/>
        <w:spacing w:line="276" w:lineRule="auto"/>
        <w:ind w:left="708"/>
        <w:jc w:val="both"/>
        <w:rPr>
          <w:sz w:val="22"/>
          <w:szCs w:val="22"/>
        </w:rPr>
      </w:pPr>
    </w:p>
    <w:p w:rsidR="00513DC6" w:rsidRDefault="00513DC6" w:rsidP="00414B64">
      <w:pPr>
        <w:pStyle w:val="Default"/>
        <w:spacing w:line="276" w:lineRule="auto"/>
        <w:ind w:left="708"/>
        <w:jc w:val="both"/>
        <w:rPr>
          <w:sz w:val="20"/>
          <w:szCs w:val="20"/>
        </w:rPr>
      </w:pPr>
      <w:r>
        <w:rPr>
          <w:sz w:val="23"/>
          <w:szCs w:val="23"/>
        </w:rPr>
        <w:t xml:space="preserve">En la web del </w:t>
      </w:r>
      <w:proofErr w:type="spellStart"/>
      <w:r>
        <w:rPr>
          <w:sz w:val="23"/>
          <w:szCs w:val="23"/>
        </w:rPr>
        <w:t>Departament</w:t>
      </w:r>
      <w:proofErr w:type="spellEnd"/>
      <w:r>
        <w:rPr>
          <w:sz w:val="23"/>
          <w:szCs w:val="23"/>
        </w:rPr>
        <w:t xml:space="preserve"> de </w:t>
      </w:r>
      <w:proofErr w:type="spellStart"/>
      <w:r>
        <w:rPr>
          <w:sz w:val="23"/>
          <w:szCs w:val="23"/>
        </w:rPr>
        <w:t>Salut</w:t>
      </w:r>
      <w:proofErr w:type="spellEnd"/>
      <w:r>
        <w:rPr>
          <w:sz w:val="23"/>
          <w:szCs w:val="23"/>
        </w:rPr>
        <w:t xml:space="preserve"> de la Generalitat de Catalunya se puede encontrar información que indica que entre un tercio y la mitad de los medicamentos prescritos en Cataluña son innecesarios o están contraindicados (</w:t>
      </w:r>
      <w:hyperlink r:id="rId7" w:history="1">
        <w:r w:rsidRPr="00EB310C">
          <w:rPr>
            <w:rStyle w:val="Hipervnculo"/>
            <w:sz w:val="20"/>
            <w:szCs w:val="20"/>
          </w:rPr>
          <w:t>http://medicaments.gencat.cat/ca/professionals/seguretat/fitxesseguretat/</w:t>
        </w:r>
      </w:hyperlink>
      <w:r>
        <w:rPr>
          <w:sz w:val="20"/>
          <w:szCs w:val="20"/>
        </w:rPr>
        <w:t>)</w:t>
      </w:r>
    </w:p>
    <w:p w:rsidR="00513DC6" w:rsidRDefault="00513DC6" w:rsidP="00414B64">
      <w:pPr>
        <w:pStyle w:val="Default"/>
        <w:spacing w:line="276" w:lineRule="auto"/>
        <w:ind w:left="708"/>
        <w:jc w:val="both"/>
        <w:rPr>
          <w:sz w:val="22"/>
          <w:szCs w:val="22"/>
        </w:rPr>
      </w:pPr>
    </w:p>
    <w:p w:rsidR="00513DC6" w:rsidRDefault="00513DC6" w:rsidP="00414B64">
      <w:pPr>
        <w:pStyle w:val="Default"/>
        <w:spacing w:line="276" w:lineRule="auto"/>
        <w:ind w:left="708"/>
        <w:jc w:val="both"/>
        <w:rPr>
          <w:sz w:val="22"/>
          <w:szCs w:val="22"/>
        </w:rPr>
      </w:pPr>
    </w:p>
    <w:p w:rsidR="00513DC6" w:rsidRDefault="00513DC6" w:rsidP="00513DC6">
      <w:pPr>
        <w:pStyle w:val="Default"/>
      </w:pPr>
    </w:p>
    <w:p w:rsidR="00513DC6" w:rsidRPr="00513DC6" w:rsidRDefault="00513DC6" w:rsidP="00513DC6">
      <w:pPr>
        <w:pStyle w:val="Default"/>
        <w:numPr>
          <w:ilvl w:val="0"/>
          <w:numId w:val="18"/>
        </w:numPr>
        <w:spacing w:line="276" w:lineRule="auto"/>
        <w:jc w:val="both"/>
        <w:rPr>
          <w:sz w:val="22"/>
          <w:szCs w:val="22"/>
        </w:rPr>
      </w:pPr>
      <w:r w:rsidRPr="00513DC6">
        <w:rPr>
          <w:sz w:val="22"/>
          <w:szCs w:val="22"/>
        </w:rPr>
        <w:t>En España, la tasa de falta de adherencia terapéutica es muy alta: en pacientes crónicos la tasa es del 50% y llega a ser del 75% en enfermedades psiquiátricas, del 70% en pacientes asmáticos y del 50% en pacientes con hipertensión arterial, diabetes o colesterol (</w:t>
      </w:r>
      <w:r w:rsidRPr="00513DC6">
        <w:rPr>
          <w:color w:val="00B0F0"/>
          <w:sz w:val="22"/>
          <w:szCs w:val="22"/>
        </w:rPr>
        <w:t>25</w:t>
      </w:r>
      <w:r w:rsidRPr="00513DC6">
        <w:rPr>
          <w:sz w:val="22"/>
          <w:szCs w:val="22"/>
        </w:rPr>
        <w:t xml:space="preserve">). La magnitud y las consecuencias asociadas a la falta de cumplimiento sitúan a la adherencia como un importante problema de salud pública a nivel mundial, que se acrecienta por el aumento de pacientes con patologías crónicas y </w:t>
      </w:r>
      <w:proofErr w:type="spellStart"/>
      <w:r w:rsidRPr="00513DC6">
        <w:rPr>
          <w:sz w:val="22"/>
          <w:szCs w:val="22"/>
        </w:rPr>
        <w:t>polimedicados</w:t>
      </w:r>
      <w:proofErr w:type="spellEnd"/>
      <w:r w:rsidRPr="00513DC6">
        <w:rPr>
          <w:sz w:val="22"/>
          <w:szCs w:val="22"/>
        </w:rPr>
        <w:t xml:space="preserve"> y el aumento de la esperanza de vida. </w:t>
      </w:r>
    </w:p>
    <w:p w:rsidR="00513DC6" w:rsidRPr="00513DC6" w:rsidRDefault="00513DC6" w:rsidP="00513DC6">
      <w:pPr>
        <w:pStyle w:val="Default"/>
        <w:spacing w:line="276" w:lineRule="auto"/>
        <w:ind w:left="720"/>
        <w:jc w:val="both"/>
        <w:rPr>
          <w:sz w:val="22"/>
          <w:szCs w:val="22"/>
        </w:rPr>
      </w:pPr>
    </w:p>
    <w:p w:rsidR="00513DC6" w:rsidRPr="00513DC6" w:rsidRDefault="00513DC6" w:rsidP="00513DC6">
      <w:pPr>
        <w:pStyle w:val="Default"/>
        <w:spacing w:line="276" w:lineRule="auto"/>
        <w:ind w:left="708"/>
        <w:jc w:val="both"/>
        <w:rPr>
          <w:sz w:val="22"/>
          <w:szCs w:val="22"/>
        </w:rPr>
      </w:pPr>
      <w:r w:rsidRPr="00513DC6">
        <w:rPr>
          <w:sz w:val="22"/>
          <w:szCs w:val="22"/>
        </w:rPr>
        <w:t xml:space="preserve">La falta de adherencia al tratamiento farmacológico constituye un problema complejo que engloba una gran variedad de situaciones y presenta múltiples causas. En los estudios realizados sobre este problema </w:t>
      </w:r>
      <w:r w:rsidRPr="00513DC6">
        <w:rPr>
          <w:b/>
          <w:bCs/>
          <w:sz w:val="22"/>
          <w:szCs w:val="22"/>
        </w:rPr>
        <w:t xml:space="preserve">no se cita entre sus causas </w:t>
      </w:r>
      <w:r w:rsidRPr="00513DC6">
        <w:rPr>
          <w:sz w:val="22"/>
          <w:szCs w:val="22"/>
        </w:rPr>
        <w:t>la utilizació</w:t>
      </w:r>
      <w:r>
        <w:rPr>
          <w:sz w:val="22"/>
          <w:szCs w:val="22"/>
        </w:rPr>
        <w:t>n de medicinas complementarias, ni de la homeopatía.</w:t>
      </w:r>
    </w:p>
    <w:p w:rsidR="00513DC6" w:rsidRPr="00513DC6" w:rsidRDefault="00513DC6" w:rsidP="00513DC6">
      <w:pPr>
        <w:pStyle w:val="Default"/>
        <w:spacing w:line="276" w:lineRule="auto"/>
        <w:ind w:left="708"/>
        <w:jc w:val="both"/>
        <w:rPr>
          <w:sz w:val="22"/>
          <w:szCs w:val="22"/>
        </w:rPr>
      </w:pPr>
    </w:p>
    <w:p w:rsidR="00513DC6" w:rsidRPr="00513DC6" w:rsidRDefault="00513DC6" w:rsidP="00513DC6">
      <w:pPr>
        <w:pStyle w:val="Default"/>
        <w:spacing w:line="276" w:lineRule="auto"/>
        <w:ind w:left="720"/>
        <w:jc w:val="both"/>
        <w:rPr>
          <w:sz w:val="22"/>
          <w:szCs w:val="22"/>
        </w:rPr>
      </w:pPr>
      <w:r w:rsidRPr="00513DC6">
        <w:rPr>
          <w:sz w:val="22"/>
          <w:szCs w:val="22"/>
        </w:rPr>
        <w:t>¿Se debería culpabilizar a la medicina convencional porque haya pacientes que no siguen el tratamiento farmacológico convencional?</w:t>
      </w:r>
    </w:p>
    <w:p w:rsidR="00E2551A" w:rsidRPr="00C56272" w:rsidRDefault="00E2551A" w:rsidP="008D26A0">
      <w:pPr>
        <w:pStyle w:val="Default"/>
        <w:spacing w:line="276" w:lineRule="auto"/>
        <w:ind w:left="720"/>
        <w:jc w:val="both"/>
        <w:rPr>
          <w:sz w:val="22"/>
          <w:szCs w:val="22"/>
        </w:rPr>
      </w:pPr>
    </w:p>
    <w:p w:rsidR="008D26A0" w:rsidRDefault="008D26A0" w:rsidP="008D26A0">
      <w:pPr>
        <w:pStyle w:val="Default"/>
        <w:spacing w:line="276" w:lineRule="auto"/>
        <w:ind w:left="708"/>
        <w:jc w:val="both"/>
        <w:rPr>
          <w:sz w:val="22"/>
          <w:szCs w:val="22"/>
        </w:rPr>
      </w:pPr>
    </w:p>
    <w:p w:rsidR="003565C7" w:rsidRPr="00C56272" w:rsidRDefault="003565C7" w:rsidP="008D26A0">
      <w:pPr>
        <w:pStyle w:val="Default"/>
        <w:spacing w:line="276" w:lineRule="auto"/>
        <w:rPr>
          <w:sz w:val="22"/>
          <w:szCs w:val="22"/>
        </w:rPr>
      </w:pPr>
    </w:p>
    <w:p w:rsidR="000550FD" w:rsidRPr="00414B64" w:rsidRDefault="003565C7" w:rsidP="008D26A0">
      <w:pPr>
        <w:pStyle w:val="Default"/>
        <w:numPr>
          <w:ilvl w:val="0"/>
          <w:numId w:val="18"/>
        </w:numPr>
        <w:spacing w:line="276" w:lineRule="auto"/>
        <w:jc w:val="both"/>
        <w:rPr>
          <w:sz w:val="22"/>
          <w:szCs w:val="22"/>
        </w:rPr>
      </w:pPr>
      <w:r w:rsidRPr="00C56272">
        <w:rPr>
          <w:sz w:val="22"/>
          <w:szCs w:val="22"/>
        </w:rPr>
        <w:t xml:space="preserve">En la Encuesta de Percepción Social de la Ciencia </w:t>
      </w:r>
      <w:proofErr w:type="spellStart"/>
      <w:r w:rsidRPr="00C56272">
        <w:rPr>
          <w:sz w:val="22"/>
          <w:szCs w:val="22"/>
        </w:rPr>
        <w:t>Fecyt</w:t>
      </w:r>
      <w:proofErr w:type="spellEnd"/>
      <w:r w:rsidRPr="00C56272">
        <w:rPr>
          <w:sz w:val="22"/>
          <w:szCs w:val="22"/>
        </w:rPr>
        <w:t xml:space="preserve"> 2016 (</w:t>
      </w:r>
      <w:r w:rsidR="00FC6294">
        <w:rPr>
          <w:color w:val="0000FF"/>
          <w:sz w:val="22"/>
          <w:szCs w:val="22"/>
        </w:rPr>
        <w:t>26</w:t>
      </w:r>
      <w:r w:rsidRPr="00C56272">
        <w:rPr>
          <w:sz w:val="22"/>
          <w:szCs w:val="22"/>
        </w:rPr>
        <w:t xml:space="preserve">) se manifiesta claramente que la búsqueda de otros métodos fuera del sistema sanitario oficial para tener una mejor salud, </w:t>
      </w:r>
      <w:r w:rsidRPr="00C56272">
        <w:rPr>
          <w:b/>
          <w:bCs/>
          <w:sz w:val="22"/>
          <w:szCs w:val="22"/>
        </w:rPr>
        <w:t xml:space="preserve">a priori no presenta un claro coste de oportunidad, puesto que no implica el rechazo o abandono de la medicina convencional. </w:t>
      </w:r>
      <w:r w:rsidRPr="00C56272">
        <w:rPr>
          <w:sz w:val="22"/>
          <w:szCs w:val="22"/>
        </w:rPr>
        <w:t>Los datos de las encuestas españolas son consistentes con los resultados previos de otros estudios internacionales que concluyen que las Terapias complementarias (CAM) suelen verse como una práctica complementaria a la medicina convencional más que como alternativa. Los usuarios de CAM no muestran especial rechazo a las medicinas convencionales, aunque sí unas creencias, valores y orientación filosófica hacia la salud y la vida diferentes del resto. Sí parece que los usuarios de estas prácticas lo hacen, en cierta medida, como reacción a las limitaciones y efectos secundari</w:t>
      </w:r>
      <w:r w:rsidR="00414B64">
        <w:rPr>
          <w:sz w:val="22"/>
          <w:szCs w:val="22"/>
        </w:rPr>
        <w:t>os de la medicina convencional</w:t>
      </w:r>
      <w:r w:rsidRPr="00C56272">
        <w:rPr>
          <w:sz w:val="22"/>
          <w:szCs w:val="22"/>
        </w:rPr>
        <w:t xml:space="preserve">. </w:t>
      </w:r>
    </w:p>
    <w:p w:rsidR="003565C7" w:rsidRPr="00C56272" w:rsidRDefault="003565C7" w:rsidP="008D26A0">
      <w:pPr>
        <w:pStyle w:val="Default"/>
        <w:spacing w:line="276" w:lineRule="auto"/>
        <w:rPr>
          <w:sz w:val="22"/>
          <w:szCs w:val="22"/>
        </w:rPr>
      </w:pPr>
    </w:p>
    <w:p w:rsidR="00513DC6" w:rsidRPr="00513DC6" w:rsidRDefault="00513DC6" w:rsidP="00513DC6">
      <w:pPr>
        <w:pStyle w:val="Default"/>
        <w:numPr>
          <w:ilvl w:val="0"/>
          <w:numId w:val="18"/>
        </w:numPr>
        <w:spacing w:line="276" w:lineRule="auto"/>
        <w:jc w:val="both"/>
        <w:rPr>
          <w:sz w:val="23"/>
          <w:szCs w:val="23"/>
        </w:rPr>
      </w:pPr>
      <w:r>
        <w:rPr>
          <w:sz w:val="23"/>
          <w:szCs w:val="23"/>
        </w:rPr>
        <w:t>Según los resultados de la última Encuesta de Percepción Social de la Ciencia del 2018 (FECYT) (</w:t>
      </w:r>
      <w:r w:rsidRPr="00513DC6">
        <w:rPr>
          <w:color w:val="00B0F0"/>
          <w:sz w:val="23"/>
          <w:szCs w:val="23"/>
        </w:rPr>
        <w:t>27</w:t>
      </w:r>
      <w:r>
        <w:rPr>
          <w:sz w:val="23"/>
          <w:szCs w:val="23"/>
        </w:rPr>
        <w:t xml:space="preserve">), el 55,5% de los ciudadanos españoles confía en la utilidad de la homeopatía para mantener su salud y su bienestar, utilizándola en su gran mayoría como complemento a tratamientos médicos convencionales, manifestando un buen grado de satisfacción con su uso. El perfil del usuario de homeopatía en España es similar al usuario de homeopatía de otros países: mujeres, personas de edades intermedias, con estudios medios altos, con un mínimo de capacidad económica, siendo los motivos por los que utilizan homeopatía los resultados deficientes de los tratamientos convencionales, la prevención de enfermedades y dolencias, la ineficacia de los antibióticos para las enfermedades virales, y la desconfianza en la medicina convencional. </w:t>
      </w:r>
    </w:p>
    <w:p w:rsidR="00513DC6" w:rsidRDefault="00513DC6" w:rsidP="00513DC6">
      <w:pPr>
        <w:pStyle w:val="Prrafodelista"/>
      </w:pPr>
    </w:p>
    <w:p w:rsidR="003565C7" w:rsidRPr="00C56272" w:rsidRDefault="003565C7" w:rsidP="00513DC6">
      <w:pPr>
        <w:pStyle w:val="Default"/>
        <w:numPr>
          <w:ilvl w:val="0"/>
          <w:numId w:val="18"/>
        </w:numPr>
        <w:spacing w:line="276" w:lineRule="auto"/>
        <w:jc w:val="both"/>
        <w:rPr>
          <w:sz w:val="22"/>
          <w:szCs w:val="22"/>
        </w:rPr>
      </w:pPr>
      <w:r w:rsidRPr="00C56272">
        <w:rPr>
          <w:sz w:val="22"/>
          <w:szCs w:val="22"/>
        </w:rPr>
        <w:t xml:space="preserve">En los resultados de </w:t>
      </w:r>
      <w:r w:rsidR="00455687" w:rsidRPr="00C56272">
        <w:rPr>
          <w:sz w:val="22"/>
          <w:szCs w:val="22"/>
        </w:rPr>
        <w:t>esta</w:t>
      </w:r>
      <w:r w:rsidRPr="00C56272">
        <w:rPr>
          <w:sz w:val="22"/>
          <w:szCs w:val="22"/>
        </w:rPr>
        <w:t xml:space="preserve"> encuesta del </w:t>
      </w:r>
      <w:proofErr w:type="spellStart"/>
      <w:r w:rsidRPr="00C56272">
        <w:rPr>
          <w:sz w:val="22"/>
          <w:szCs w:val="22"/>
        </w:rPr>
        <w:t>Fecyt</w:t>
      </w:r>
      <w:proofErr w:type="spellEnd"/>
      <w:r w:rsidRPr="00C56272">
        <w:rPr>
          <w:sz w:val="22"/>
          <w:szCs w:val="22"/>
        </w:rPr>
        <w:t xml:space="preserve"> 20</w:t>
      </w:r>
      <w:r w:rsidR="00325E19">
        <w:rPr>
          <w:sz w:val="22"/>
          <w:szCs w:val="22"/>
        </w:rPr>
        <w:t xml:space="preserve">18, </w:t>
      </w:r>
      <w:r w:rsidRPr="00C56272">
        <w:rPr>
          <w:sz w:val="22"/>
          <w:szCs w:val="22"/>
        </w:rPr>
        <w:t>solo hay un 5% de la población que declara que la última vez que utilizó homeopatía o acupuntura para tratar una dolencia, lo hizo en lugar de tratamientos médicos convencionales. No se especifica QUÉ TIPO DE DOLENCIA FUE TRATADA (pudo ser un catarro, dolor garganta, contusión, dolor de cabeza, u otros problemas que pueden solucionarse desde el autocuidado), por lo que no se puede deducir que fueran patologías graves, ni que sea un comportamiento habitual el usar estos tratamientos en sustitución de los convencionales. Es más explícito el resultado del Barómetro de Febrero de 2018 publicado por el CIS (</w:t>
      </w:r>
      <w:r w:rsidR="00FC6294" w:rsidRPr="00FC6294">
        <w:rPr>
          <w:color w:val="0070C0"/>
          <w:sz w:val="22"/>
          <w:szCs w:val="22"/>
        </w:rPr>
        <w:t>28</w:t>
      </w:r>
      <w:r w:rsidRPr="00C56272">
        <w:rPr>
          <w:sz w:val="22"/>
          <w:szCs w:val="22"/>
        </w:rPr>
        <w:t>) que hace referencia a que el 9,1% de la población toma un producto natural cuando sufre un dolor leve o enfriamien</w:t>
      </w:r>
      <w:r w:rsidR="00455687" w:rsidRPr="00C56272">
        <w:rPr>
          <w:sz w:val="22"/>
          <w:szCs w:val="22"/>
        </w:rPr>
        <w:t>to, l</w:t>
      </w:r>
      <w:r w:rsidRPr="00C56272">
        <w:rPr>
          <w:sz w:val="22"/>
          <w:szCs w:val="22"/>
        </w:rPr>
        <w:t xml:space="preserve">o que no implica que en patologías graves hagan lo mismo. </w:t>
      </w:r>
    </w:p>
    <w:p w:rsidR="003565C7" w:rsidRPr="00C56272" w:rsidRDefault="003565C7" w:rsidP="008D26A0">
      <w:pPr>
        <w:pStyle w:val="Default"/>
        <w:spacing w:line="276" w:lineRule="auto"/>
        <w:rPr>
          <w:sz w:val="22"/>
          <w:szCs w:val="22"/>
        </w:rPr>
      </w:pPr>
    </w:p>
    <w:p w:rsidR="003565C7" w:rsidRPr="00325E19" w:rsidRDefault="003565C7" w:rsidP="008D26A0">
      <w:pPr>
        <w:pStyle w:val="Default"/>
        <w:numPr>
          <w:ilvl w:val="0"/>
          <w:numId w:val="18"/>
        </w:numPr>
        <w:spacing w:line="276" w:lineRule="auto"/>
        <w:jc w:val="both"/>
        <w:rPr>
          <w:sz w:val="22"/>
          <w:szCs w:val="22"/>
        </w:rPr>
      </w:pPr>
      <w:r w:rsidRPr="00C56272">
        <w:rPr>
          <w:sz w:val="22"/>
          <w:szCs w:val="22"/>
        </w:rPr>
        <w:t>Que se sepa, no existen sentencias condenatorias en España por pérdida de oportunidad asistencial relacionadas con el uso de la homeopatía. Sin embargo, SÍ existen sentencias condenatorias por pérdida de oportunidad asistencial en el ámbito de la medicina pública (</w:t>
      </w:r>
      <w:r w:rsidR="00325E19" w:rsidRPr="00325E19">
        <w:rPr>
          <w:color w:val="0000FF"/>
          <w:sz w:val="22"/>
          <w:szCs w:val="22"/>
        </w:rPr>
        <w:t>2</w:t>
      </w:r>
      <w:r w:rsidR="00FC6294">
        <w:rPr>
          <w:color w:val="0000FF"/>
          <w:sz w:val="22"/>
          <w:szCs w:val="22"/>
        </w:rPr>
        <w:t>9</w:t>
      </w:r>
      <w:r w:rsidR="00325E19">
        <w:rPr>
          <w:sz w:val="22"/>
          <w:szCs w:val="22"/>
        </w:rPr>
        <w:t>)</w:t>
      </w:r>
    </w:p>
    <w:p w:rsidR="003565C7" w:rsidRDefault="003565C7" w:rsidP="008D26A0">
      <w:pPr>
        <w:pStyle w:val="Default"/>
        <w:spacing w:line="276" w:lineRule="auto"/>
        <w:rPr>
          <w:sz w:val="22"/>
          <w:szCs w:val="22"/>
        </w:rPr>
      </w:pPr>
    </w:p>
    <w:p w:rsidR="00216DA9" w:rsidRPr="00C56272" w:rsidRDefault="00216DA9" w:rsidP="008D26A0">
      <w:pPr>
        <w:pStyle w:val="Default"/>
        <w:spacing w:line="276" w:lineRule="auto"/>
        <w:rPr>
          <w:sz w:val="22"/>
          <w:szCs w:val="22"/>
        </w:rPr>
      </w:pPr>
    </w:p>
    <w:p w:rsidR="003565C7" w:rsidRPr="00C56272" w:rsidRDefault="003565C7" w:rsidP="008D26A0">
      <w:pPr>
        <w:pStyle w:val="Default"/>
        <w:numPr>
          <w:ilvl w:val="0"/>
          <w:numId w:val="19"/>
        </w:numPr>
        <w:spacing w:line="276" w:lineRule="auto"/>
        <w:jc w:val="both"/>
        <w:rPr>
          <w:sz w:val="22"/>
          <w:szCs w:val="22"/>
        </w:rPr>
      </w:pPr>
      <w:r w:rsidRPr="00C56272">
        <w:rPr>
          <w:sz w:val="22"/>
          <w:szCs w:val="22"/>
        </w:rPr>
        <w:t>Si hablamos de pérdida de oportunidad terapéutica, podemos destacar que según la Encuesta Europea de Salud en España 2014 (</w:t>
      </w:r>
      <w:r w:rsidR="00325E19">
        <w:rPr>
          <w:color w:val="0000FF"/>
          <w:sz w:val="22"/>
          <w:szCs w:val="22"/>
        </w:rPr>
        <w:t>22)</w:t>
      </w:r>
      <w:r w:rsidRPr="00C56272">
        <w:rPr>
          <w:sz w:val="22"/>
          <w:szCs w:val="22"/>
        </w:rPr>
        <w:t xml:space="preserve"> un 12,26% de la población de 15 y más años de edad declaró que en el último año, había sufrió una demora excesiva, o incluso no había podido acceder a la asistencia médica, a causa de una lista de espera demasiado larga, y un 1,15% por haber tenido problemas de transporte. En cuanto a motivos económicos, un 2,83% de la población de 15 y más años declaró que no había podido acceder a la atención médica, un 14,08% a la atención dental, un 2,7% a un medicamento recetado y un 0,85% a la atención mental. </w:t>
      </w:r>
    </w:p>
    <w:p w:rsidR="00B022E4" w:rsidRPr="00C56272" w:rsidRDefault="00B022E4" w:rsidP="008D26A0">
      <w:pPr>
        <w:pStyle w:val="Default"/>
        <w:spacing w:line="276" w:lineRule="auto"/>
        <w:ind w:left="720"/>
        <w:jc w:val="both"/>
        <w:rPr>
          <w:sz w:val="22"/>
          <w:szCs w:val="22"/>
        </w:rPr>
      </w:pPr>
    </w:p>
    <w:p w:rsidR="003565C7" w:rsidRPr="00C56272" w:rsidRDefault="003565C7" w:rsidP="008D26A0">
      <w:pPr>
        <w:pStyle w:val="Default"/>
        <w:spacing w:line="276" w:lineRule="auto"/>
        <w:ind w:left="720"/>
        <w:jc w:val="both"/>
        <w:rPr>
          <w:sz w:val="22"/>
          <w:szCs w:val="22"/>
        </w:rPr>
      </w:pPr>
      <w:r w:rsidRPr="00C56272">
        <w:rPr>
          <w:sz w:val="22"/>
          <w:szCs w:val="22"/>
        </w:rPr>
        <w:t>Por tanto, la verdadera falta de oportunidad terapéutica, tal y como estamos viendo actualmente, reside en los principales problemas que afectan a la Sanidad Pública Española, y que están siendo denunciados por todos los colectivos de salud pública: listas de espera de hasta 200 días para una intervención quirúrgica, o de una semana para una</w:t>
      </w:r>
      <w:r w:rsidR="00B022E4" w:rsidRPr="00C56272">
        <w:rPr>
          <w:sz w:val="22"/>
          <w:szCs w:val="22"/>
        </w:rPr>
        <w:t xml:space="preserve"> consulta de atención primaria ; </w:t>
      </w:r>
      <w:r w:rsidRPr="00C56272">
        <w:rPr>
          <w:sz w:val="22"/>
          <w:szCs w:val="22"/>
        </w:rPr>
        <w:t>recortes presupuestarios que privan a la Sanidad Pública de</w:t>
      </w:r>
      <w:r w:rsidR="00B022E4" w:rsidRPr="00C56272">
        <w:rPr>
          <w:sz w:val="22"/>
          <w:szCs w:val="22"/>
        </w:rPr>
        <w:t xml:space="preserve"> recursos humanos y materiales; </w:t>
      </w:r>
      <w:r w:rsidRPr="00C56272">
        <w:rPr>
          <w:sz w:val="22"/>
          <w:szCs w:val="22"/>
        </w:rPr>
        <w:t xml:space="preserve">falta de personal sanitario y sobrecarga de trabajo de dicho </w:t>
      </w:r>
      <w:r w:rsidR="00B022E4" w:rsidRPr="00C56272">
        <w:rPr>
          <w:sz w:val="22"/>
          <w:szCs w:val="22"/>
        </w:rPr>
        <w:t xml:space="preserve">personal; </w:t>
      </w:r>
      <w:r w:rsidRPr="00C56272">
        <w:rPr>
          <w:sz w:val="22"/>
          <w:szCs w:val="22"/>
        </w:rPr>
        <w:t xml:space="preserve"> escaso tiempo de atención por paciente, consumo excesivo de antibióticos con el incremento consiguiente de la resistencia antimicrobiana, etc. </w:t>
      </w:r>
    </w:p>
    <w:p w:rsidR="00387356" w:rsidRPr="00325E19" w:rsidRDefault="00387356" w:rsidP="008D26A0">
      <w:pPr>
        <w:rPr>
          <w:rFonts w:cs="TimesNewRomanPSMT"/>
          <w:color w:val="0070C0"/>
        </w:rPr>
      </w:pPr>
    </w:p>
    <w:p w:rsidR="00B5433A" w:rsidRPr="00C56272" w:rsidRDefault="00B022E4" w:rsidP="008D26A0">
      <w:pPr>
        <w:pStyle w:val="Prrafodelista"/>
        <w:jc w:val="both"/>
        <w:rPr>
          <w:rFonts w:cs="TimesNewRomanPSMT"/>
          <w:color w:val="0070C0"/>
        </w:rPr>
      </w:pPr>
      <w:r w:rsidRPr="00C56272">
        <w:rPr>
          <w:rFonts w:cs="TimesNewRomanPSMT"/>
        </w:rPr>
        <w:t xml:space="preserve">Esperamos haber contribuido a </w:t>
      </w:r>
      <w:r w:rsidR="00916D2C" w:rsidRPr="00C56272">
        <w:rPr>
          <w:rFonts w:cs="TimesNewRomanPSMT"/>
        </w:rPr>
        <w:t>dar a conocer algunos datos sobre la homeopatía</w:t>
      </w:r>
      <w:r w:rsidR="00387356" w:rsidRPr="00C56272">
        <w:rPr>
          <w:rFonts w:cs="TimesNewRomanPSMT"/>
        </w:rPr>
        <w:t xml:space="preserve"> escasamente </w:t>
      </w:r>
      <w:r w:rsidR="00916D2C" w:rsidRPr="00C56272">
        <w:rPr>
          <w:rFonts w:cs="TimesNewRomanPSMT"/>
        </w:rPr>
        <w:t xml:space="preserve">difundidos, y </w:t>
      </w:r>
      <w:r w:rsidR="00387356" w:rsidRPr="00C56272">
        <w:rPr>
          <w:rFonts w:cs="TimesNewRomanPSMT"/>
        </w:rPr>
        <w:t>aclarar</w:t>
      </w:r>
      <w:r w:rsidRPr="00C56272">
        <w:rPr>
          <w:rFonts w:cs="TimesNewRomanPSMT"/>
        </w:rPr>
        <w:t xml:space="preserve"> </w:t>
      </w:r>
      <w:r w:rsidR="00387356" w:rsidRPr="00C56272">
        <w:rPr>
          <w:rFonts w:cs="TimesNewRomanPSMT"/>
        </w:rPr>
        <w:t>algunas</w:t>
      </w:r>
      <w:r w:rsidR="00916D2C" w:rsidRPr="00C56272">
        <w:rPr>
          <w:rFonts w:cs="TimesNewRomanPSMT"/>
        </w:rPr>
        <w:t xml:space="preserve"> informaciones de escaso rigor que periódicamente han ido apareciendo </w:t>
      </w:r>
      <w:r w:rsidR="00387356" w:rsidRPr="00C56272">
        <w:rPr>
          <w:rFonts w:cs="TimesNewRomanPSMT"/>
        </w:rPr>
        <w:t xml:space="preserve"> </w:t>
      </w:r>
      <w:r w:rsidR="00916D2C" w:rsidRPr="00C56272">
        <w:rPr>
          <w:rFonts w:cs="TimesNewRomanPSMT"/>
        </w:rPr>
        <w:t>en</w:t>
      </w:r>
      <w:r w:rsidR="00387356" w:rsidRPr="00C56272">
        <w:rPr>
          <w:rFonts w:cs="TimesNewRomanPSMT"/>
        </w:rPr>
        <w:t xml:space="preserve"> </w:t>
      </w:r>
      <w:r w:rsidRPr="00C56272">
        <w:rPr>
          <w:rFonts w:cs="TimesNewRomanPSMT"/>
        </w:rPr>
        <w:t xml:space="preserve"> los medios de comunicación</w:t>
      </w:r>
      <w:r w:rsidR="00387356" w:rsidRPr="00C56272">
        <w:rPr>
          <w:rFonts w:cs="TimesNewRomanPSMT"/>
        </w:rPr>
        <w:t xml:space="preserve">, </w:t>
      </w:r>
      <w:r w:rsidR="00916D2C" w:rsidRPr="00C56272">
        <w:rPr>
          <w:rFonts w:cs="TimesNewRomanPSMT"/>
        </w:rPr>
        <w:t xml:space="preserve">creando incertidumbre sobre la legalidad de la prescripción y recomendación de los medicamentos homeopáticos por parte de </w:t>
      </w:r>
      <w:r w:rsidR="000727B8" w:rsidRPr="00C56272">
        <w:rPr>
          <w:rFonts w:cs="TimesNewRomanPSMT"/>
        </w:rPr>
        <w:t>los profesionales sanitarios</w:t>
      </w:r>
      <w:r w:rsidR="000727B8" w:rsidRPr="00C56272">
        <w:rPr>
          <w:rFonts w:cs="TimesNewRomanPSMT"/>
          <w:color w:val="0070C0"/>
        </w:rPr>
        <w:t>.</w:t>
      </w:r>
    </w:p>
    <w:p w:rsidR="00916D2C" w:rsidRPr="00C56272" w:rsidRDefault="00916D2C" w:rsidP="008D26A0">
      <w:pPr>
        <w:pStyle w:val="Prrafodelista"/>
        <w:rPr>
          <w:rFonts w:cs="TimesNewRomanPSMT"/>
          <w:color w:val="0070C0"/>
        </w:rPr>
      </w:pPr>
    </w:p>
    <w:p w:rsidR="00916D2C" w:rsidRPr="00BF265D" w:rsidRDefault="00BF265D" w:rsidP="00B5433A">
      <w:pPr>
        <w:pStyle w:val="Prrafodelista"/>
        <w:rPr>
          <w:rFonts w:cs="TimesNewRomanPSMT"/>
        </w:rPr>
      </w:pPr>
      <w:r>
        <w:rPr>
          <w:rFonts w:cs="TimesNewRomanPSMT"/>
          <w:color w:val="0070C0"/>
        </w:rPr>
        <w:t xml:space="preserve">               </w:t>
      </w:r>
      <w:r w:rsidR="00325E19">
        <w:rPr>
          <w:rFonts w:cs="TimesNewRomanPSMT"/>
          <w:color w:val="0070C0"/>
        </w:rPr>
        <w:t xml:space="preserve">      </w:t>
      </w:r>
      <w:r w:rsidR="008D26A0">
        <w:rPr>
          <w:rFonts w:cs="TimesNewRomanPSMT"/>
          <w:color w:val="0070C0"/>
        </w:rPr>
        <w:t xml:space="preserve">            </w:t>
      </w:r>
      <w:r w:rsidRPr="00BF265D">
        <w:rPr>
          <w:rFonts w:cs="TimesNewRomanPSMT"/>
        </w:rPr>
        <w:t>DEPARTAMENTO CIENTÍFICO IBERHOME</w:t>
      </w:r>
    </w:p>
    <w:p w:rsidR="00BF265D" w:rsidRDefault="00BF265D" w:rsidP="00B5433A">
      <w:pPr>
        <w:autoSpaceDE w:val="0"/>
        <w:autoSpaceDN w:val="0"/>
        <w:adjustRightInd w:val="0"/>
        <w:spacing w:after="0"/>
        <w:jc w:val="both"/>
        <w:rPr>
          <w:color w:val="0070C0"/>
        </w:rPr>
      </w:pPr>
    </w:p>
    <w:p w:rsidR="00BF265D" w:rsidRDefault="00BF265D" w:rsidP="00B5433A">
      <w:pPr>
        <w:autoSpaceDE w:val="0"/>
        <w:autoSpaceDN w:val="0"/>
        <w:adjustRightInd w:val="0"/>
        <w:spacing w:after="0"/>
        <w:jc w:val="both"/>
        <w:rPr>
          <w:color w:val="0070C0"/>
        </w:rPr>
      </w:pPr>
    </w:p>
    <w:p w:rsidR="00B5433A" w:rsidRPr="00BF265D" w:rsidRDefault="00BF265D" w:rsidP="00B5433A">
      <w:pPr>
        <w:autoSpaceDE w:val="0"/>
        <w:autoSpaceDN w:val="0"/>
        <w:adjustRightInd w:val="0"/>
        <w:spacing w:after="0"/>
        <w:jc w:val="both"/>
      </w:pPr>
      <w:r w:rsidRPr="00BF265D">
        <w:t>BIBLIOGRAFÍA:</w:t>
      </w:r>
    </w:p>
    <w:p w:rsidR="00340F68" w:rsidRDefault="00340F68" w:rsidP="008D26A0">
      <w:pPr>
        <w:pStyle w:val="Prrafodelista"/>
        <w:numPr>
          <w:ilvl w:val="0"/>
          <w:numId w:val="24"/>
        </w:numPr>
        <w:autoSpaceDE w:val="0"/>
        <w:autoSpaceDN w:val="0"/>
        <w:adjustRightInd w:val="0"/>
        <w:jc w:val="both"/>
        <w:rPr>
          <w:color w:val="0070C0"/>
          <w:sz w:val="20"/>
          <w:szCs w:val="20"/>
        </w:rPr>
      </w:pPr>
      <w:r w:rsidRPr="00340F68">
        <w:rPr>
          <w:color w:val="0070C0"/>
          <w:sz w:val="20"/>
          <w:szCs w:val="20"/>
        </w:rPr>
        <w:t xml:space="preserve">Resolución de 9 de enero de 2017, de la Dirección General de Industria y de la Pequeña y Mediana Empresa, por la que se publica la relación de normas europeas que han sido ratificadas durante el mes de diciembre de 2016 como normas españolas. </w:t>
      </w:r>
      <w:hyperlink r:id="rId8" w:history="1">
        <w:r w:rsidRPr="00340F68">
          <w:rPr>
            <w:rStyle w:val="Hipervnculo"/>
            <w:sz w:val="20"/>
            <w:szCs w:val="20"/>
          </w:rPr>
          <w:t>https://www.boe.es/diario_boe/txt.php?id=BOE-A-2017-425</w:t>
        </w:r>
      </w:hyperlink>
      <w:r w:rsidRPr="00340F68">
        <w:rPr>
          <w:color w:val="0070C0"/>
          <w:sz w:val="20"/>
          <w:szCs w:val="20"/>
        </w:rPr>
        <w:t>)</w:t>
      </w:r>
    </w:p>
    <w:p w:rsidR="008D26A0" w:rsidRDefault="008D26A0" w:rsidP="008D26A0">
      <w:pPr>
        <w:pStyle w:val="Prrafodelista"/>
        <w:autoSpaceDE w:val="0"/>
        <w:autoSpaceDN w:val="0"/>
        <w:adjustRightInd w:val="0"/>
        <w:ind w:left="644"/>
        <w:jc w:val="both"/>
        <w:rPr>
          <w:color w:val="0070C0"/>
          <w:sz w:val="20"/>
          <w:szCs w:val="20"/>
        </w:rPr>
      </w:pPr>
    </w:p>
    <w:p w:rsidR="00340F68" w:rsidRDefault="00340F68" w:rsidP="008D26A0">
      <w:pPr>
        <w:pStyle w:val="Prrafodelista"/>
        <w:numPr>
          <w:ilvl w:val="0"/>
          <w:numId w:val="24"/>
        </w:numPr>
        <w:autoSpaceDE w:val="0"/>
        <w:autoSpaceDN w:val="0"/>
        <w:adjustRightInd w:val="0"/>
        <w:jc w:val="both"/>
        <w:rPr>
          <w:color w:val="0070C0"/>
          <w:sz w:val="20"/>
          <w:szCs w:val="20"/>
        </w:rPr>
      </w:pPr>
      <w:r w:rsidRPr="00340F68">
        <w:rPr>
          <w:color w:val="0070C0"/>
          <w:sz w:val="20"/>
          <w:szCs w:val="20"/>
        </w:rPr>
        <w:t>DIRECTIVA 2001/83/CE DEL PARLAMENTO EUROPEO Y DEL CONSEJO, DE 6 DE NOVIEMBRE DE 2.001, por la que se establece un código comunitario sobre medicamentos para uso humano</w:t>
      </w:r>
    </w:p>
    <w:p w:rsidR="008D26A0" w:rsidRPr="008D26A0" w:rsidRDefault="008D26A0" w:rsidP="008D26A0">
      <w:pPr>
        <w:pStyle w:val="Prrafodelista"/>
        <w:rPr>
          <w:color w:val="0070C0"/>
          <w:sz w:val="20"/>
          <w:szCs w:val="20"/>
        </w:rPr>
      </w:pPr>
    </w:p>
    <w:p w:rsidR="00340F68" w:rsidRPr="00340F68" w:rsidRDefault="00340F68" w:rsidP="008D26A0">
      <w:pPr>
        <w:pStyle w:val="Prrafodelista"/>
        <w:numPr>
          <w:ilvl w:val="0"/>
          <w:numId w:val="24"/>
        </w:numPr>
        <w:autoSpaceDE w:val="0"/>
        <w:autoSpaceDN w:val="0"/>
        <w:adjustRightInd w:val="0"/>
        <w:jc w:val="both"/>
        <w:rPr>
          <w:color w:val="0070C0"/>
          <w:sz w:val="20"/>
          <w:szCs w:val="20"/>
        </w:rPr>
      </w:pPr>
      <w:r w:rsidRPr="00BD4B03">
        <w:rPr>
          <w:rFonts w:cs="Arial"/>
          <w:color w:val="0070C0"/>
          <w:sz w:val="20"/>
          <w:szCs w:val="20"/>
          <w:u w:val="single"/>
        </w:rPr>
        <w:t>Directiva 2001/83/CE sobre medicamentos de uso humano</w:t>
      </w:r>
      <w:r w:rsidRPr="00340F68">
        <w:rPr>
          <w:rFonts w:cs="Arial"/>
          <w:color w:val="0070C0"/>
          <w:sz w:val="20"/>
          <w:szCs w:val="20"/>
        </w:rPr>
        <w:t>:</w:t>
      </w:r>
      <w:r w:rsidRPr="00340F68">
        <w:rPr>
          <w:rFonts w:cs="Arial"/>
          <w:i/>
          <w:color w:val="0070C0"/>
          <w:sz w:val="20"/>
          <w:szCs w:val="20"/>
        </w:rPr>
        <w:t xml:space="preserve"> Se considera «medicamento» toda sustancia, o su combinación, con propiedades curativas o preventivas de enfermedades, así como las sustancias administradas para modificar las funciones fisiológicas.</w:t>
      </w:r>
    </w:p>
    <w:p w:rsidR="00340F68" w:rsidRPr="008D26A0" w:rsidRDefault="00340F68" w:rsidP="008D26A0">
      <w:pPr>
        <w:pStyle w:val="Default"/>
        <w:numPr>
          <w:ilvl w:val="0"/>
          <w:numId w:val="24"/>
        </w:numPr>
        <w:spacing w:after="200" w:line="276" w:lineRule="auto"/>
        <w:ind w:left="720"/>
        <w:rPr>
          <w:color w:val="0070C0"/>
          <w:sz w:val="20"/>
          <w:szCs w:val="20"/>
        </w:rPr>
      </w:pPr>
      <w:r w:rsidRPr="00BD4B03">
        <w:rPr>
          <w:color w:val="0070C0"/>
          <w:sz w:val="20"/>
          <w:szCs w:val="20"/>
          <w:u w:val="single"/>
        </w:rPr>
        <w:lastRenderedPageBreak/>
        <w:t>Texto refundido de la Ley de garantías y uso racional de los medicamentos y productos sanitarios</w:t>
      </w:r>
      <w:r w:rsidRPr="008D26A0">
        <w:rPr>
          <w:color w:val="0070C0"/>
          <w:sz w:val="20"/>
          <w:szCs w:val="20"/>
        </w:rPr>
        <w:t>, aprobado por el Real Decreto Legislativo 1/2015, de 24 de julio</w:t>
      </w:r>
      <w:proofErr w:type="gramStart"/>
      <w:r w:rsidRPr="008D26A0">
        <w:rPr>
          <w:color w:val="0070C0"/>
          <w:sz w:val="20"/>
          <w:szCs w:val="20"/>
        </w:rPr>
        <w:t xml:space="preserve">: </w:t>
      </w:r>
      <w:r w:rsidR="008D26A0">
        <w:rPr>
          <w:color w:val="0070C0"/>
          <w:sz w:val="20"/>
          <w:szCs w:val="20"/>
        </w:rPr>
        <w:t xml:space="preserve"> </w:t>
      </w:r>
      <w:r w:rsidRPr="008D26A0">
        <w:rPr>
          <w:i/>
          <w:iCs/>
          <w:color w:val="0070C0"/>
          <w:sz w:val="20"/>
          <w:szCs w:val="20"/>
        </w:rPr>
        <w:t>Artículo</w:t>
      </w:r>
      <w:proofErr w:type="gramEnd"/>
      <w:r w:rsidRPr="008D26A0">
        <w:rPr>
          <w:i/>
          <w:iCs/>
          <w:color w:val="0070C0"/>
          <w:sz w:val="20"/>
          <w:szCs w:val="20"/>
        </w:rPr>
        <w:t xml:space="preserve"> 2</w:t>
      </w:r>
      <w:r w:rsidRPr="008D26A0">
        <w:rPr>
          <w:color w:val="0070C0"/>
          <w:sz w:val="20"/>
          <w:szCs w:val="20"/>
        </w:rPr>
        <w:t xml:space="preserve">. </w:t>
      </w:r>
      <w:r w:rsidRPr="008D26A0">
        <w:rPr>
          <w:i/>
          <w:iCs/>
          <w:color w:val="0070C0"/>
          <w:sz w:val="20"/>
          <w:szCs w:val="20"/>
        </w:rPr>
        <w:t xml:space="preserve">Definiciones: </w:t>
      </w:r>
    </w:p>
    <w:p w:rsidR="00340F68" w:rsidRDefault="00340F68" w:rsidP="008D26A0">
      <w:pPr>
        <w:pStyle w:val="Prrafodelista"/>
        <w:numPr>
          <w:ilvl w:val="0"/>
          <w:numId w:val="25"/>
        </w:numPr>
        <w:autoSpaceDE w:val="0"/>
        <w:autoSpaceDN w:val="0"/>
        <w:adjustRightInd w:val="0"/>
        <w:jc w:val="both"/>
        <w:rPr>
          <w:i/>
          <w:iCs/>
          <w:color w:val="0070C0"/>
          <w:sz w:val="20"/>
          <w:szCs w:val="20"/>
        </w:rPr>
      </w:pPr>
      <w:r w:rsidRPr="00340F68">
        <w:rPr>
          <w:i/>
          <w:iCs/>
          <w:color w:val="0070C0"/>
          <w:sz w:val="20"/>
          <w:szCs w:val="20"/>
        </w:rPr>
        <w:t xml:space="preserve">«Medicamento de uso humano»: Toda sustancia o combinación de sustancias que se presente como </w:t>
      </w:r>
      <w:r w:rsidRPr="00340F68">
        <w:rPr>
          <w:b/>
          <w:bCs/>
          <w:i/>
          <w:iCs/>
          <w:color w:val="0070C0"/>
          <w:sz w:val="20"/>
          <w:szCs w:val="20"/>
        </w:rPr>
        <w:t xml:space="preserve">poseedora de propiedades para el tratamiento o prevención de enfermedades en seres humanos </w:t>
      </w:r>
      <w:r w:rsidRPr="00340F68">
        <w:rPr>
          <w:i/>
          <w:iCs/>
          <w:color w:val="0070C0"/>
          <w:sz w:val="20"/>
          <w:szCs w:val="20"/>
        </w:rPr>
        <w:t xml:space="preserve">o que pueda usarse en seres humanos o administrarse a seres humanos con el fin de </w:t>
      </w:r>
      <w:r w:rsidRPr="00340F68">
        <w:rPr>
          <w:b/>
          <w:bCs/>
          <w:i/>
          <w:iCs/>
          <w:color w:val="0070C0"/>
          <w:sz w:val="20"/>
          <w:szCs w:val="20"/>
        </w:rPr>
        <w:t xml:space="preserve">restaurar, corregir o modificar las funciones fisiológicas </w:t>
      </w:r>
      <w:r w:rsidRPr="00340F68">
        <w:rPr>
          <w:i/>
          <w:iCs/>
          <w:color w:val="0070C0"/>
          <w:sz w:val="20"/>
          <w:szCs w:val="20"/>
        </w:rPr>
        <w:t>ejerciendo una acción farmacológica, inmunológica o metabólica, o de establecer un diagnóstico médic</w:t>
      </w:r>
      <w:r>
        <w:rPr>
          <w:i/>
          <w:iCs/>
          <w:color w:val="0070C0"/>
          <w:sz w:val="20"/>
          <w:szCs w:val="20"/>
        </w:rPr>
        <w:t>o</w:t>
      </w:r>
    </w:p>
    <w:p w:rsidR="008D26A0" w:rsidRPr="00340F68" w:rsidRDefault="008D26A0" w:rsidP="008D26A0">
      <w:pPr>
        <w:pStyle w:val="Prrafodelista"/>
        <w:autoSpaceDE w:val="0"/>
        <w:autoSpaceDN w:val="0"/>
        <w:adjustRightInd w:val="0"/>
        <w:ind w:left="1080"/>
        <w:jc w:val="both"/>
        <w:rPr>
          <w:color w:val="0070C0"/>
        </w:rPr>
      </w:pPr>
    </w:p>
    <w:p w:rsidR="004A6703" w:rsidRPr="00340F68" w:rsidRDefault="004A6703" w:rsidP="008D26A0">
      <w:pPr>
        <w:pStyle w:val="Prrafodelista"/>
        <w:numPr>
          <w:ilvl w:val="0"/>
          <w:numId w:val="24"/>
        </w:numPr>
        <w:autoSpaceDE w:val="0"/>
        <w:autoSpaceDN w:val="0"/>
        <w:adjustRightInd w:val="0"/>
        <w:jc w:val="both"/>
        <w:rPr>
          <w:color w:val="0070C0"/>
          <w:sz w:val="20"/>
          <w:szCs w:val="20"/>
        </w:rPr>
      </w:pPr>
      <w:r w:rsidRPr="00340F68">
        <w:rPr>
          <w:bCs/>
          <w:iCs/>
          <w:color w:val="0070C0"/>
          <w:sz w:val="20"/>
          <w:szCs w:val="20"/>
        </w:rPr>
        <w:t>REAL DECRETO 2208/1994, DE 16 DE NOVIEMBRE, POR EL QUE SE REGULAN LOS MEDICAMENTOS HOMEOPÁTICOS DE USO HUMANO DE FABRICACION INDUSTRIAL</w:t>
      </w:r>
    </w:p>
    <w:p w:rsidR="004A6703" w:rsidRPr="00340F68" w:rsidRDefault="008D26A0" w:rsidP="008D26A0">
      <w:pPr>
        <w:pStyle w:val="Default"/>
        <w:numPr>
          <w:ilvl w:val="0"/>
          <w:numId w:val="24"/>
        </w:numPr>
        <w:spacing w:after="200" w:line="276" w:lineRule="auto"/>
        <w:rPr>
          <w:rFonts w:asciiTheme="minorHAnsi" w:eastAsia="Arial Unicode MS" w:hAnsiTheme="minorHAnsi" w:cs="Arial Unicode MS"/>
          <w:color w:val="0070C0"/>
          <w:sz w:val="20"/>
          <w:szCs w:val="20"/>
          <w:lang w:val="en-US"/>
        </w:rPr>
      </w:pPr>
      <w:r>
        <w:rPr>
          <w:rFonts w:asciiTheme="minorHAnsi" w:eastAsia="Arial Unicode MS" w:hAnsiTheme="minorHAnsi" w:cs="Arial Unicode MS"/>
          <w:color w:val="0070C0"/>
          <w:sz w:val="20"/>
          <w:szCs w:val="20"/>
          <w:lang w:val="en-US"/>
        </w:rPr>
        <w:t>-</w:t>
      </w:r>
      <w:r w:rsidR="004A6703" w:rsidRPr="00340F68">
        <w:rPr>
          <w:rFonts w:asciiTheme="minorHAnsi" w:eastAsia="Arial Unicode MS" w:hAnsiTheme="minorHAnsi" w:cs="Arial Unicode MS"/>
          <w:color w:val="0070C0"/>
          <w:sz w:val="20"/>
          <w:szCs w:val="20"/>
          <w:lang w:val="en-US"/>
        </w:rPr>
        <w:t>SCIENTIFIC FRAMEWORK OF HOMEOPATHY</w:t>
      </w:r>
      <w:r w:rsidR="004A6703" w:rsidRPr="00340F68">
        <w:rPr>
          <w:rFonts w:eastAsia="Arial Unicode MS" w:cs="Arial Unicode MS"/>
          <w:color w:val="0070C0"/>
          <w:sz w:val="20"/>
          <w:szCs w:val="20"/>
          <w:lang w:val="en-US"/>
        </w:rPr>
        <w:t xml:space="preserve">. </w:t>
      </w:r>
      <w:r w:rsidR="004A6703" w:rsidRPr="00340F68">
        <w:rPr>
          <w:rFonts w:asciiTheme="minorHAnsi" w:eastAsia="Arial Unicode MS" w:hAnsiTheme="minorHAnsi" w:cs="Arial Unicode MS"/>
          <w:color w:val="0070C0"/>
          <w:sz w:val="20"/>
          <w:szCs w:val="20"/>
          <w:lang w:val="en-US"/>
        </w:rPr>
        <w:t xml:space="preserve">Evidence Based Homeopathy 2016-2017 y </w:t>
      </w:r>
      <w:proofErr w:type="spellStart"/>
      <w:r w:rsidR="004A6703" w:rsidRPr="00340F68">
        <w:rPr>
          <w:rFonts w:asciiTheme="minorHAnsi" w:eastAsia="Arial Unicode MS" w:hAnsiTheme="minorHAnsi" w:cs="Arial Unicode MS"/>
          <w:color w:val="0070C0"/>
          <w:sz w:val="20"/>
          <w:szCs w:val="20"/>
          <w:lang w:val="en-US"/>
        </w:rPr>
        <w:t>suplemento</w:t>
      </w:r>
      <w:proofErr w:type="spellEnd"/>
      <w:r w:rsidR="004A6703" w:rsidRPr="00340F68">
        <w:rPr>
          <w:rFonts w:asciiTheme="minorHAnsi" w:eastAsia="Arial Unicode MS" w:hAnsiTheme="minorHAnsi" w:cs="Arial Unicode MS"/>
          <w:color w:val="0070C0"/>
          <w:sz w:val="20"/>
          <w:szCs w:val="20"/>
          <w:lang w:val="en-US"/>
        </w:rPr>
        <w:t xml:space="preserve"> 2017: </w:t>
      </w:r>
      <w:r w:rsidR="004A6703" w:rsidRPr="00340F68">
        <w:rPr>
          <w:color w:val="0070C0"/>
          <w:sz w:val="20"/>
          <w:szCs w:val="20"/>
          <w:lang w:val="en-US"/>
        </w:rPr>
        <w:t xml:space="preserve"> </w:t>
      </w:r>
      <w:hyperlink r:id="rId9" w:history="1">
        <w:r w:rsidR="004A6703" w:rsidRPr="00340F68">
          <w:rPr>
            <w:rStyle w:val="Hipervnculo"/>
            <w:rFonts w:asciiTheme="minorHAnsi" w:eastAsia="Arial Unicode MS" w:hAnsiTheme="minorHAnsi" w:cs="Arial Unicode MS"/>
            <w:color w:val="0070C0"/>
            <w:sz w:val="20"/>
            <w:szCs w:val="20"/>
            <w:lang w:val="en-US"/>
          </w:rPr>
          <w:t>http://www.lmhi.org/downloads/nvp/Supplement_2017_Nov.pdf</w:t>
        </w:r>
      </w:hyperlink>
      <w:r w:rsidR="004A6703" w:rsidRPr="00340F68">
        <w:rPr>
          <w:rFonts w:asciiTheme="minorHAnsi" w:eastAsia="Arial Unicode MS" w:hAnsiTheme="minorHAnsi" w:cs="Arial Unicode MS"/>
          <w:color w:val="0070C0"/>
          <w:sz w:val="20"/>
          <w:szCs w:val="20"/>
          <w:lang w:val="en-US"/>
        </w:rPr>
        <w:t xml:space="preserve"> </w:t>
      </w:r>
      <w:hyperlink r:id="rId10" w:history="1">
        <w:r w:rsidR="004A6703" w:rsidRPr="00340F68">
          <w:rPr>
            <w:rStyle w:val="Hipervnculo"/>
            <w:rFonts w:asciiTheme="minorHAnsi" w:eastAsia="Arial Unicode MS" w:hAnsiTheme="minorHAnsi" w:cs="Arial Unicode MS"/>
            <w:color w:val="0070C0"/>
            <w:sz w:val="20"/>
            <w:szCs w:val="20"/>
            <w:lang w:val="en-US"/>
          </w:rPr>
          <w:t>http://www.lmhi.org/downloads/nvp/LMHI%20Sc%20framework%202016-modi.pdf</w:t>
        </w:r>
      </w:hyperlink>
      <w:r w:rsidR="004A6703" w:rsidRPr="00340F68">
        <w:rPr>
          <w:rFonts w:asciiTheme="minorHAnsi" w:eastAsia="Arial Unicode MS" w:hAnsiTheme="minorHAnsi" w:cs="Arial Unicode MS"/>
          <w:color w:val="0070C0"/>
          <w:sz w:val="20"/>
          <w:szCs w:val="20"/>
          <w:lang w:val="en-US"/>
        </w:rPr>
        <w:t xml:space="preserve"> </w:t>
      </w:r>
    </w:p>
    <w:p w:rsidR="004A6703" w:rsidRPr="00340F68" w:rsidRDefault="008D26A0" w:rsidP="008D26A0">
      <w:pPr>
        <w:pStyle w:val="Prrafodelista"/>
        <w:autoSpaceDE w:val="0"/>
        <w:autoSpaceDN w:val="0"/>
        <w:adjustRightInd w:val="0"/>
        <w:rPr>
          <w:rStyle w:val="Hipervnculo"/>
          <w:rFonts w:cs="Calibri-Bold"/>
          <w:bCs/>
          <w:color w:val="0070C0"/>
          <w:sz w:val="20"/>
          <w:szCs w:val="20"/>
        </w:rPr>
      </w:pPr>
      <w:r>
        <w:rPr>
          <w:rFonts w:cs="Optima-Bold"/>
          <w:bCs/>
          <w:color w:val="0070C0"/>
          <w:sz w:val="20"/>
          <w:szCs w:val="20"/>
          <w:lang w:val="en-US"/>
        </w:rPr>
        <w:t>-</w:t>
      </w:r>
      <w:r w:rsidR="004A6703" w:rsidRPr="00340F68">
        <w:rPr>
          <w:rFonts w:cs="Optima-Bold"/>
          <w:bCs/>
          <w:color w:val="0070C0"/>
          <w:sz w:val="20"/>
          <w:szCs w:val="20"/>
          <w:lang w:val="en-US"/>
        </w:rPr>
        <w:t xml:space="preserve">CLINICAL RESEARCH IN HOMEOPATHY: SYSTEMATIC REVIEWS AND RANDOMIZED CLINICAL TRIALS. </w:t>
      </w:r>
      <w:proofErr w:type="spellStart"/>
      <w:r w:rsidR="004A6703" w:rsidRPr="00340F68">
        <w:rPr>
          <w:rFonts w:cs="Optima-Bold"/>
          <w:bCs/>
          <w:color w:val="0070C0"/>
          <w:sz w:val="20"/>
          <w:szCs w:val="20"/>
        </w:rPr>
        <w:t>Waisse</w:t>
      </w:r>
      <w:proofErr w:type="spellEnd"/>
      <w:r w:rsidR="004A6703" w:rsidRPr="00340F68">
        <w:rPr>
          <w:rFonts w:cs="Optima-Bold"/>
          <w:bCs/>
          <w:color w:val="0070C0"/>
          <w:sz w:val="20"/>
          <w:szCs w:val="20"/>
        </w:rPr>
        <w:t>, S.</w:t>
      </w:r>
      <w:r w:rsidR="004A6703" w:rsidRPr="00340F68">
        <w:rPr>
          <w:rFonts w:cs="Calibri-Bold"/>
          <w:bCs/>
          <w:color w:val="0070C0"/>
          <w:sz w:val="20"/>
          <w:szCs w:val="20"/>
        </w:rPr>
        <w:t xml:space="preserve"> REVISTA DE HOMEOPATIA 2017</w:t>
      </w:r>
      <w:proofErr w:type="gramStart"/>
      <w:r w:rsidR="004A6703" w:rsidRPr="00340F68">
        <w:rPr>
          <w:rFonts w:cs="Calibri-Bold"/>
          <w:bCs/>
          <w:color w:val="0070C0"/>
          <w:sz w:val="20"/>
          <w:szCs w:val="20"/>
        </w:rPr>
        <w:t>;80</w:t>
      </w:r>
      <w:proofErr w:type="gramEnd"/>
      <w:r w:rsidR="004A6703" w:rsidRPr="00340F68">
        <w:rPr>
          <w:rFonts w:cs="Calibri-Bold"/>
          <w:bCs/>
          <w:color w:val="0070C0"/>
          <w:sz w:val="20"/>
          <w:szCs w:val="20"/>
        </w:rPr>
        <w:t xml:space="preserve">(3/4): 121-133 </w:t>
      </w:r>
      <w:hyperlink r:id="rId11" w:history="1">
        <w:r w:rsidR="004A6703" w:rsidRPr="00340F68">
          <w:rPr>
            <w:rStyle w:val="Hipervnculo"/>
            <w:rFonts w:cs="Calibri-Bold"/>
            <w:bCs/>
            <w:color w:val="0070C0"/>
            <w:sz w:val="20"/>
            <w:szCs w:val="20"/>
          </w:rPr>
          <w:t>http://revista.aph.org.br/index.php/aph/article/view/412/504</w:t>
        </w:r>
      </w:hyperlink>
    </w:p>
    <w:p w:rsidR="0029299D" w:rsidRPr="00340F68" w:rsidRDefault="0029299D" w:rsidP="008D26A0">
      <w:pPr>
        <w:pStyle w:val="Prrafodelista"/>
        <w:autoSpaceDE w:val="0"/>
        <w:autoSpaceDN w:val="0"/>
        <w:adjustRightInd w:val="0"/>
        <w:rPr>
          <w:rFonts w:cs="Calibri-Bold"/>
          <w:bCs/>
          <w:color w:val="0070C0"/>
          <w:sz w:val="20"/>
          <w:szCs w:val="20"/>
        </w:rPr>
      </w:pPr>
    </w:p>
    <w:p w:rsidR="004A6703" w:rsidRDefault="008D26A0" w:rsidP="008D26A0">
      <w:pPr>
        <w:pStyle w:val="Prrafodelista"/>
        <w:autoSpaceDE w:val="0"/>
        <w:autoSpaceDN w:val="0"/>
        <w:adjustRightInd w:val="0"/>
        <w:rPr>
          <w:rFonts w:cs="Calibri-Bold"/>
          <w:bCs/>
          <w:color w:val="0070C0"/>
          <w:sz w:val="20"/>
          <w:szCs w:val="20"/>
        </w:rPr>
      </w:pPr>
      <w:r>
        <w:rPr>
          <w:rFonts w:cs="Calibri-Bold"/>
          <w:bCs/>
          <w:color w:val="0070C0"/>
          <w:sz w:val="20"/>
          <w:szCs w:val="20"/>
        </w:rPr>
        <w:t>-</w:t>
      </w:r>
      <w:r w:rsidR="004A6703" w:rsidRPr="00340F68">
        <w:rPr>
          <w:rFonts w:cs="Calibri-Bold"/>
          <w:bCs/>
          <w:color w:val="0070C0"/>
          <w:sz w:val="20"/>
          <w:szCs w:val="20"/>
        </w:rPr>
        <w:t>HOMEOPATÍA: CIENCIA DE LA CURACIÓN SUAVE:</w:t>
      </w:r>
      <w:r w:rsidR="004A6703" w:rsidRPr="00340F68">
        <w:rPr>
          <w:color w:val="0070C0"/>
          <w:sz w:val="20"/>
          <w:szCs w:val="20"/>
        </w:rPr>
        <w:t xml:space="preserve"> </w:t>
      </w:r>
      <w:hyperlink r:id="rId12" w:history="1">
        <w:r w:rsidRPr="00703FFC">
          <w:rPr>
            <w:rStyle w:val="Hipervnculo"/>
            <w:rFonts w:cs="Calibri-Bold"/>
            <w:bCs/>
            <w:sz w:val="20"/>
            <w:szCs w:val="20"/>
          </w:rPr>
          <w:t>https://www.ccrhindia.nic.in//admnis/admin/showimg.aspx?ID=9497</w:t>
        </w:r>
      </w:hyperlink>
    </w:p>
    <w:p w:rsidR="008D26A0" w:rsidRPr="00340F68" w:rsidRDefault="008D26A0" w:rsidP="008D26A0">
      <w:pPr>
        <w:pStyle w:val="Prrafodelista"/>
        <w:autoSpaceDE w:val="0"/>
        <w:autoSpaceDN w:val="0"/>
        <w:adjustRightInd w:val="0"/>
        <w:rPr>
          <w:rFonts w:cs="Calibri-Bold"/>
          <w:bCs/>
          <w:color w:val="0070C0"/>
          <w:sz w:val="20"/>
          <w:szCs w:val="20"/>
        </w:rPr>
      </w:pPr>
    </w:p>
    <w:p w:rsidR="004A6703" w:rsidRPr="00340F68" w:rsidRDefault="004A6703" w:rsidP="008D26A0">
      <w:pPr>
        <w:pStyle w:val="Prrafodelista"/>
        <w:numPr>
          <w:ilvl w:val="0"/>
          <w:numId w:val="24"/>
        </w:numPr>
        <w:ind w:right="240"/>
        <w:outlineLvl w:val="3"/>
        <w:rPr>
          <w:rFonts w:cs="Arial"/>
          <w:bCs/>
          <w:color w:val="0070C0"/>
          <w:sz w:val="20"/>
          <w:szCs w:val="20"/>
          <w:lang w:val="pt-BR"/>
        </w:rPr>
      </w:pPr>
      <w:proofErr w:type="spellStart"/>
      <w:r w:rsidRPr="00340F68">
        <w:rPr>
          <w:color w:val="0070C0"/>
          <w:sz w:val="20"/>
          <w:szCs w:val="20"/>
          <w:lang w:val="pt-BR"/>
        </w:rPr>
        <w:t>The</w:t>
      </w:r>
      <w:proofErr w:type="spellEnd"/>
      <w:r w:rsidRPr="00340F68">
        <w:rPr>
          <w:color w:val="0070C0"/>
          <w:sz w:val="20"/>
          <w:szCs w:val="20"/>
          <w:lang w:val="pt-BR"/>
        </w:rPr>
        <w:t xml:space="preserve"> </w:t>
      </w:r>
      <w:proofErr w:type="spellStart"/>
      <w:r w:rsidRPr="00340F68">
        <w:rPr>
          <w:color w:val="0070C0"/>
          <w:sz w:val="20"/>
          <w:szCs w:val="20"/>
          <w:lang w:val="pt-BR"/>
        </w:rPr>
        <w:t>soundness</w:t>
      </w:r>
      <w:proofErr w:type="spellEnd"/>
      <w:r w:rsidRPr="00340F68">
        <w:rPr>
          <w:color w:val="0070C0"/>
          <w:sz w:val="20"/>
          <w:szCs w:val="20"/>
          <w:lang w:val="pt-BR"/>
        </w:rPr>
        <w:t xml:space="preserve"> </w:t>
      </w:r>
      <w:proofErr w:type="spellStart"/>
      <w:r w:rsidRPr="00340F68">
        <w:rPr>
          <w:color w:val="0070C0"/>
          <w:sz w:val="20"/>
          <w:szCs w:val="20"/>
          <w:lang w:val="pt-BR"/>
        </w:rPr>
        <w:t>of</w:t>
      </w:r>
      <w:proofErr w:type="spellEnd"/>
      <w:r w:rsidRPr="00340F68">
        <w:rPr>
          <w:color w:val="0070C0"/>
          <w:sz w:val="20"/>
          <w:szCs w:val="20"/>
          <w:lang w:val="pt-BR"/>
        </w:rPr>
        <w:t xml:space="preserve"> </w:t>
      </w:r>
      <w:proofErr w:type="spellStart"/>
      <w:r w:rsidRPr="00340F68">
        <w:rPr>
          <w:color w:val="0070C0"/>
          <w:sz w:val="20"/>
          <w:szCs w:val="20"/>
          <w:lang w:val="pt-BR"/>
        </w:rPr>
        <w:t>homeopathic</w:t>
      </w:r>
      <w:proofErr w:type="spellEnd"/>
      <w:r w:rsidRPr="00340F68">
        <w:rPr>
          <w:color w:val="0070C0"/>
          <w:sz w:val="20"/>
          <w:szCs w:val="20"/>
          <w:lang w:val="pt-BR"/>
        </w:rPr>
        <w:t xml:space="preserve"> fundamental research.</w:t>
      </w:r>
      <w:r w:rsidRPr="00340F68">
        <w:rPr>
          <w:rStyle w:val="nfasis"/>
          <w:color w:val="0070C0"/>
          <w:sz w:val="20"/>
          <w:szCs w:val="20"/>
          <w:lang w:val="pt-BR"/>
        </w:rPr>
        <w:t xml:space="preserve"> </w:t>
      </w:r>
      <w:proofErr w:type="spellStart"/>
      <w:r w:rsidRPr="00340F68">
        <w:rPr>
          <w:rStyle w:val="nfasis"/>
          <w:color w:val="0070C0"/>
          <w:sz w:val="20"/>
          <w:szCs w:val="20"/>
          <w:lang w:val="pt-BR"/>
        </w:rPr>
        <w:t>Villano</w:t>
      </w:r>
      <w:proofErr w:type="spellEnd"/>
      <w:r w:rsidRPr="00340F68">
        <w:rPr>
          <w:rStyle w:val="nfasis"/>
          <w:color w:val="0070C0"/>
          <w:sz w:val="20"/>
          <w:szCs w:val="20"/>
          <w:lang w:val="pt-BR"/>
        </w:rPr>
        <w:t xml:space="preserve"> </w:t>
      </w:r>
      <w:proofErr w:type="spellStart"/>
      <w:r w:rsidRPr="00340F68">
        <w:rPr>
          <w:rStyle w:val="nfasis"/>
          <w:color w:val="0070C0"/>
          <w:sz w:val="20"/>
          <w:szCs w:val="20"/>
          <w:lang w:val="pt-BR"/>
        </w:rPr>
        <w:t>Bonamin</w:t>
      </w:r>
      <w:proofErr w:type="spellEnd"/>
      <w:r w:rsidRPr="00340F68">
        <w:rPr>
          <w:rStyle w:val="nfasis"/>
          <w:color w:val="0070C0"/>
          <w:sz w:val="20"/>
          <w:szCs w:val="20"/>
          <w:lang w:val="pt-BR"/>
        </w:rPr>
        <w:t>, L.</w:t>
      </w:r>
      <w:r w:rsidRPr="00340F68">
        <w:rPr>
          <w:rFonts w:cs="Calibri-Bold"/>
          <w:bCs/>
          <w:color w:val="0070C0"/>
          <w:sz w:val="20"/>
          <w:szCs w:val="20"/>
        </w:rPr>
        <w:t xml:space="preserve"> REVISTA DE HOMEOPATIA </w:t>
      </w:r>
      <w:proofErr w:type="gramStart"/>
      <w:r w:rsidRPr="00340F68">
        <w:rPr>
          <w:rFonts w:cs="Calibri-Bold"/>
          <w:bCs/>
          <w:color w:val="0070C0"/>
          <w:sz w:val="20"/>
          <w:szCs w:val="20"/>
        </w:rPr>
        <w:t>2017;</w:t>
      </w:r>
      <w:proofErr w:type="gramEnd"/>
      <w:r w:rsidRPr="00340F68">
        <w:rPr>
          <w:rFonts w:cs="Calibri-Bold"/>
          <w:bCs/>
          <w:color w:val="0070C0"/>
          <w:sz w:val="20"/>
          <w:szCs w:val="20"/>
        </w:rPr>
        <w:t xml:space="preserve">80(3/4): 82-89   </w:t>
      </w:r>
      <w:r w:rsidRPr="00340F68">
        <w:rPr>
          <w:rFonts w:cs="Arial"/>
          <w:bCs/>
          <w:color w:val="0070C0"/>
          <w:sz w:val="20"/>
          <w:szCs w:val="20"/>
          <w:lang w:val="pt-BR"/>
        </w:rPr>
        <w:t xml:space="preserve"> http://revista.aph.org.br/index.php/aph/article/view/409/501</w:t>
      </w:r>
    </w:p>
    <w:p w:rsidR="004A6703" w:rsidRPr="00340F68" w:rsidRDefault="004A6703" w:rsidP="008D26A0">
      <w:pPr>
        <w:pStyle w:val="Default"/>
        <w:numPr>
          <w:ilvl w:val="0"/>
          <w:numId w:val="24"/>
        </w:numPr>
        <w:spacing w:after="200" w:line="276" w:lineRule="auto"/>
        <w:jc w:val="both"/>
        <w:rPr>
          <w:color w:val="0070C0"/>
          <w:sz w:val="20"/>
          <w:szCs w:val="20"/>
        </w:rPr>
      </w:pPr>
      <w:r w:rsidRPr="00340F68">
        <w:rPr>
          <w:bCs/>
          <w:color w:val="0070C0"/>
          <w:sz w:val="20"/>
          <w:szCs w:val="20"/>
          <w:lang w:val="pt-BR"/>
        </w:rPr>
        <w:t xml:space="preserve">Base de </w:t>
      </w:r>
      <w:proofErr w:type="spellStart"/>
      <w:r w:rsidRPr="00340F68">
        <w:rPr>
          <w:bCs/>
          <w:color w:val="0070C0"/>
          <w:sz w:val="20"/>
          <w:szCs w:val="20"/>
          <w:lang w:val="pt-BR"/>
        </w:rPr>
        <w:t>Datos</w:t>
      </w:r>
      <w:proofErr w:type="spellEnd"/>
      <w:r w:rsidRPr="00340F68">
        <w:rPr>
          <w:bCs/>
          <w:color w:val="0070C0"/>
          <w:sz w:val="20"/>
          <w:szCs w:val="20"/>
          <w:lang w:val="pt-BR"/>
        </w:rPr>
        <w:t xml:space="preserve"> de </w:t>
      </w:r>
      <w:proofErr w:type="spellStart"/>
      <w:proofErr w:type="gramStart"/>
      <w:r w:rsidRPr="00340F68">
        <w:rPr>
          <w:bCs/>
          <w:color w:val="0070C0"/>
          <w:sz w:val="20"/>
          <w:szCs w:val="20"/>
          <w:lang w:val="pt-BR"/>
        </w:rPr>
        <w:t>la</w:t>
      </w:r>
      <w:proofErr w:type="spellEnd"/>
      <w:proofErr w:type="gramEnd"/>
      <w:r w:rsidRPr="00340F68">
        <w:rPr>
          <w:bCs/>
          <w:color w:val="0070C0"/>
          <w:sz w:val="20"/>
          <w:szCs w:val="20"/>
          <w:lang w:val="pt-BR"/>
        </w:rPr>
        <w:t xml:space="preserve"> </w:t>
      </w:r>
      <w:r w:rsidRPr="00340F68">
        <w:rPr>
          <w:bCs/>
          <w:color w:val="0070C0"/>
          <w:sz w:val="20"/>
          <w:szCs w:val="20"/>
        </w:rPr>
        <w:t xml:space="preserve">Fundación </w:t>
      </w:r>
      <w:proofErr w:type="spellStart"/>
      <w:r w:rsidRPr="00340F68">
        <w:rPr>
          <w:bCs/>
          <w:color w:val="0070C0"/>
          <w:sz w:val="20"/>
          <w:szCs w:val="20"/>
        </w:rPr>
        <w:t>Carstens-Stiftung</w:t>
      </w:r>
      <w:proofErr w:type="spellEnd"/>
      <w:r w:rsidRPr="00340F68">
        <w:rPr>
          <w:bCs/>
          <w:color w:val="0070C0"/>
          <w:sz w:val="20"/>
          <w:szCs w:val="20"/>
          <w:lang w:val="pt-BR"/>
        </w:rPr>
        <w:t xml:space="preserve">    </w:t>
      </w:r>
      <w:hyperlink r:id="rId13" w:anchor="/" w:history="1">
        <w:r w:rsidRPr="00340F68">
          <w:rPr>
            <w:rStyle w:val="Hipervnculo"/>
            <w:rFonts w:cs="Arial"/>
            <w:color w:val="0070C0"/>
            <w:sz w:val="20"/>
            <w:szCs w:val="20"/>
            <w:lang w:val="pt-BR"/>
          </w:rPr>
          <w:t>https://www.carstens-stiftung.de/databases/#/</w:t>
        </w:r>
      </w:hyperlink>
    </w:p>
    <w:p w:rsidR="0029299D" w:rsidRDefault="0029299D" w:rsidP="008D26A0">
      <w:pPr>
        <w:pStyle w:val="Prrafodelista"/>
        <w:numPr>
          <w:ilvl w:val="0"/>
          <w:numId w:val="24"/>
        </w:numPr>
        <w:jc w:val="both"/>
        <w:rPr>
          <w:color w:val="0070C0"/>
          <w:sz w:val="20"/>
          <w:szCs w:val="20"/>
        </w:rPr>
      </w:pPr>
      <w:r w:rsidRPr="00340F68">
        <w:rPr>
          <w:color w:val="0070C0"/>
          <w:sz w:val="20"/>
          <w:szCs w:val="20"/>
        </w:rPr>
        <w:t xml:space="preserve">https://www.hri-research.org/es/homeopathy-faqs/the-best-studies-have-shown-homeopathy-doesnt-work/ </w:t>
      </w:r>
    </w:p>
    <w:p w:rsidR="008D26A0" w:rsidRPr="00340F68" w:rsidRDefault="008D26A0" w:rsidP="008D26A0">
      <w:pPr>
        <w:pStyle w:val="Prrafodelista"/>
        <w:ind w:left="644"/>
        <w:jc w:val="both"/>
        <w:rPr>
          <w:color w:val="0070C0"/>
          <w:sz w:val="20"/>
          <w:szCs w:val="20"/>
        </w:rPr>
      </w:pPr>
    </w:p>
    <w:p w:rsidR="008D26A0" w:rsidRDefault="0029299D" w:rsidP="008D26A0">
      <w:pPr>
        <w:pStyle w:val="Prrafodelista"/>
        <w:numPr>
          <w:ilvl w:val="0"/>
          <w:numId w:val="24"/>
        </w:numPr>
        <w:jc w:val="both"/>
        <w:rPr>
          <w:rFonts w:cs="Arial"/>
          <w:bCs/>
          <w:color w:val="0070C0"/>
          <w:sz w:val="20"/>
          <w:szCs w:val="20"/>
          <w:lang w:val="en-US"/>
        </w:rPr>
      </w:pPr>
      <w:r w:rsidRPr="00340F68">
        <w:rPr>
          <w:rFonts w:cs="Arial"/>
          <w:bCs/>
          <w:color w:val="0070C0"/>
          <w:sz w:val="20"/>
          <w:szCs w:val="20"/>
          <w:lang w:val="en-US"/>
        </w:rPr>
        <w:t xml:space="preserve">EUROPEAN COMMISSION, DIRECTORATE-GENERAL SCIENCE, RESEARCH AND DEVELOPEMENT: </w:t>
      </w:r>
      <w:r w:rsidRPr="00340F68">
        <w:rPr>
          <w:rFonts w:cs="Arial"/>
          <w:bCs/>
          <w:i/>
          <w:iCs/>
          <w:color w:val="0070C0"/>
          <w:sz w:val="20"/>
          <w:szCs w:val="20"/>
          <w:lang w:val="en-US"/>
        </w:rPr>
        <w:t>COST ACTION B4, UNCONVENTIONAL MEDICINE, FINAL REPORT OF THE MANAGEMENT COMMITTEE 1.993-1.998</w:t>
      </w:r>
      <w:r w:rsidRPr="00340F68">
        <w:rPr>
          <w:rFonts w:cs="Arial"/>
          <w:bCs/>
          <w:color w:val="0070C0"/>
          <w:sz w:val="20"/>
          <w:szCs w:val="20"/>
          <w:lang w:val="en-US"/>
        </w:rPr>
        <w:t xml:space="preserve"> (EUR   18429 EN; SUPPLEMENT 1.999 (EUR 19110 EN).</w:t>
      </w:r>
    </w:p>
    <w:p w:rsidR="008D26A0" w:rsidRPr="008D26A0" w:rsidRDefault="008D26A0" w:rsidP="008D26A0">
      <w:pPr>
        <w:pStyle w:val="Prrafodelista"/>
        <w:rPr>
          <w:rFonts w:cs="Arial"/>
          <w:bCs/>
          <w:color w:val="0070C0"/>
          <w:sz w:val="20"/>
          <w:szCs w:val="20"/>
          <w:lang w:val="en-US"/>
        </w:rPr>
      </w:pPr>
    </w:p>
    <w:p w:rsidR="0029299D" w:rsidRDefault="0029299D" w:rsidP="008D26A0">
      <w:pPr>
        <w:pStyle w:val="Prrafodelista"/>
        <w:numPr>
          <w:ilvl w:val="0"/>
          <w:numId w:val="24"/>
        </w:numPr>
        <w:autoSpaceDE w:val="0"/>
        <w:autoSpaceDN w:val="0"/>
        <w:adjustRightInd w:val="0"/>
        <w:rPr>
          <w:rFonts w:cs="Tahoma"/>
          <w:color w:val="0070C0"/>
          <w:sz w:val="20"/>
          <w:szCs w:val="20"/>
          <w:lang w:val="en-US"/>
        </w:rPr>
      </w:pPr>
      <w:r w:rsidRPr="00340F68">
        <w:rPr>
          <w:rFonts w:cs="Tahoma"/>
          <w:color w:val="0070C0"/>
          <w:sz w:val="20"/>
          <w:szCs w:val="20"/>
          <w:lang w:val="en-US"/>
        </w:rPr>
        <w:t xml:space="preserve">Spence DS, Thompson EA, Barron SJ. Homeopathic Treatment for Chronic Disease: A 6-Year, University-Hospital Outpatient Observational Study. Journal of Alternative and Complementary Medicine 2005; </w:t>
      </w:r>
      <w:r w:rsidRPr="00340F68">
        <w:rPr>
          <w:rFonts w:cs="Tahoma"/>
          <w:b/>
          <w:bCs/>
          <w:color w:val="0070C0"/>
          <w:sz w:val="20"/>
          <w:szCs w:val="20"/>
          <w:lang w:val="en-US"/>
        </w:rPr>
        <w:t xml:space="preserve">11 </w:t>
      </w:r>
      <w:r w:rsidRPr="00340F68">
        <w:rPr>
          <w:rFonts w:cs="Tahoma"/>
          <w:color w:val="0070C0"/>
          <w:sz w:val="20"/>
          <w:szCs w:val="20"/>
          <w:lang w:val="en-US"/>
        </w:rPr>
        <w:t xml:space="preserve">(5): 793-798 </w:t>
      </w:r>
    </w:p>
    <w:p w:rsidR="008D26A0" w:rsidRPr="008D26A0" w:rsidRDefault="008D26A0" w:rsidP="008D26A0">
      <w:pPr>
        <w:pStyle w:val="Prrafodelista"/>
        <w:rPr>
          <w:rFonts w:cs="Tahoma"/>
          <w:color w:val="0070C0"/>
          <w:sz w:val="20"/>
          <w:szCs w:val="20"/>
          <w:lang w:val="en-US"/>
        </w:rPr>
      </w:pPr>
    </w:p>
    <w:p w:rsidR="0029299D" w:rsidRPr="008D26A0" w:rsidRDefault="0029299D" w:rsidP="008D26A0">
      <w:pPr>
        <w:pStyle w:val="Prrafodelista"/>
        <w:numPr>
          <w:ilvl w:val="0"/>
          <w:numId w:val="24"/>
        </w:numPr>
        <w:autoSpaceDE w:val="0"/>
        <w:autoSpaceDN w:val="0"/>
        <w:adjustRightInd w:val="0"/>
        <w:rPr>
          <w:rFonts w:cs="Tahoma"/>
          <w:color w:val="0070C0"/>
          <w:sz w:val="20"/>
          <w:szCs w:val="20"/>
        </w:rPr>
      </w:pPr>
      <w:r w:rsidRPr="00340F68">
        <w:rPr>
          <w:rFonts w:cs="Tahoma"/>
          <w:color w:val="0070C0"/>
          <w:sz w:val="20"/>
          <w:szCs w:val="20"/>
          <w:lang w:val="en-US"/>
        </w:rPr>
        <w:t xml:space="preserve">Thompson EA, </w:t>
      </w:r>
      <w:proofErr w:type="spellStart"/>
      <w:r w:rsidRPr="00340F68">
        <w:rPr>
          <w:rFonts w:cs="Tahoma"/>
          <w:color w:val="0070C0"/>
          <w:sz w:val="20"/>
          <w:szCs w:val="20"/>
          <w:lang w:val="en-US"/>
        </w:rPr>
        <w:t>Mathie</w:t>
      </w:r>
      <w:proofErr w:type="spellEnd"/>
      <w:r w:rsidRPr="00340F68">
        <w:rPr>
          <w:rFonts w:cs="Tahoma"/>
          <w:color w:val="0070C0"/>
          <w:sz w:val="20"/>
          <w:szCs w:val="20"/>
          <w:lang w:val="en-US"/>
        </w:rPr>
        <w:t xml:space="preserve"> RT, </w:t>
      </w:r>
      <w:proofErr w:type="spellStart"/>
      <w:r w:rsidRPr="00340F68">
        <w:rPr>
          <w:rFonts w:cs="Tahoma"/>
          <w:color w:val="0070C0"/>
          <w:sz w:val="20"/>
          <w:szCs w:val="20"/>
          <w:lang w:val="en-US"/>
        </w:rPr>
        <w:t>Baitson</w:t>
      </w:r>
      <w:proofErr w:type="spellEnd"/>
      <w:r w:rsidRPr="00340F68">
        <w:rPr>
          <w:rFonts w:cs="Tahoma"/>
          <w:color w:val="0070C0"/>
          <w:sz w:val="20"/>
          <w:szCs w:val="20"/>
          <w:lang w:val="en-US"/>
        </w:rPr>
        <w:t xml:space="preserve"> ES, et al. Towards standard setting for patient-reported outcomes in the NHS homeopathic hospitals. </w:t>
      </w:r>
      <w:proofErr w:type="spellStart"/>
      <w:r w:rsidRPr="00340F68">
        <w:rPr>
          <w:rFonts w:cs="Tahoma"/>
          <w:color w:val="0070C0"/>
          <w:sz w:val="20"/>
          <w:szCs w:val="20"/>
        </w:rPr>
        <w:t>Homeopathy</w:t>
      </w:r>
      <w:proofErr w:type="spellEnd"/>
      <w:r w:rsidRPr="00340F68">
        <w:rPr>
          <w:rFonts w:cs="Tahoma"/>
          <w:color w:val="0070C0"/>
          <w:sz w:val="20"/>
          <w:szCs w:val="20"/>
        </w:rPr>
        <w:t xml:space="preserve"> 2008; </w:t>
      </w:r>
      <w:r w:rsidRPr="00340F68">
        <w:rPr>
          <w:rFonts w:cs="Tahoma"/>
          <w:b/>
          <w:bCs/>
          <w:color w:val="0070C0"/>
          <w:sz w:val="20"/>
          <w:szCs w:val="20"/>
        </w:rPr>
        <w:t xml:space="preserve">97 </w:t>
      </w:r>
      <w:r w:rsidRPr="00340F68">
        <w:rPr>
          <w:rFonts w:cs="Tahoma"/>
          <w:color w:val="0070C0"/>
          <w:sz w:val="20"/>
          <w:szCs w:val="20"/>
        </w:rPr>
        <w:t xml:space="preserve">(3): 114-121 </w:t>
      </w:r>
      <w:r w:rsidRPr="00340F68">
        <w:rPr>
          <w:rFonts w:cs="Tahoma"/>
          <w:color w:val="0070C0"/>
          <w:sz w:val="20"/>
          <w:szCs w:val="20"/>
          <w:u w:val="single"/>
        </w:rPr>
        <w:t xml:space="preserve">http://dx.doi.org/10.1016/j.homp.2008.06.005 </w:t>
      </w:r>
    </w:p>
    <w:p w:rsidR="008D26A0" w:rsidRPr="008D26A0" w:rsidRDefault="008D26A0" w:rsidP="008D26A0">
      <w:pPr>
        <w:pStyle w:val="Prrafodelista"/>
        <w:rPr>
          <w:rFonts w:cs="Tahoma"/>
          <w:color w:val="0070C0"/>
          <w:sz w:val="20"/>
          <w:szCs w:val="20"/>
        </w:rPr>
      </w:pPr>
    </w:p>
    <w:p w:rsidR="0029299D" w:rsidRDefault="0029299D" w:rsidP="008D26A0">
      <w:pPr>
        <w:pStyle w:val="Prrafodelista"/>
        <w:numPr>
          <w:ilvl w:val="0"/>
          <w:numId w:val="24"/>
        </w:numPr>
        <w:autoSpaceDE w:val="0"/>
        <w:autoSpaceDN w:val="0"/>
        <w:adjustRightInd w:val="0"/>
        <w:rPr>
          <w:rFonts w:cs="Tahoma"/>
          <w:color w:val="0070C0"/>
          <w:sz w:val="20"/>
          <w:szCs w:val="20"/>
          <w:lang w:val="en-US"/>
        </w:rPr>
      </w:pPr>
      <w:r w:rsidRPr="00340F68">
        <w:rPr>
          <w:rFonts w:cs="Tahoma"/>
          <w:color w:val="0070C0"/>
          <w:sz w:val="20"/>
          <w:szCs w:val="20"/>
          <w:lang w:val="en-US"/>
        </w:rPr>
        <w:t xml:space="preserve">Thompson EA, Montgomery A, Douglas D, Reilly D. A pilot, randomized, double-blinded, placebo-controlled trial of individualized homeopathy for symptoms of estrogen withdrawal in breast-cancer survivors. Journal of Alternative and Complementary Medicine 2005 </w:t>
      </w:r>
      <w:r w:rsidRPr="00340F68">
        <w:rPr>
          <w:rFonts w:cs="Tahoma"/>
          <w:b/>
          <w:bCs/>
          <w:color w:val="0070C0"/>
          <w:sz w:val="20"/>
          <w:szCs w:val="20"/>
          <w:lang w:val="en-US"/>
        </w:rPr>
        <w:t>11</w:t>
      </w:r>
      <w:r w:rsidRPr="00340F68">
        <w:rPr>
          <w:rFonts w:cs="Tahoma"/>
          <w:color w:val="0070C0"/>
          <w:sz w:val="20"/>
          <w:szCs w:val="20"/>
          <w:lang w:val="en-US"/>
        </w:rPr>
        <w:t xml:space="preserve">: 13–20. </w:t>
      </w:r>
    </w:p>
    <w:p w:rsidR="008D26A0" w:rsidRPr="008D26A0" w:rsidRDefault="008D26A0" w:rsidP="008D26A0">
      <w:pPr>
        <w:pStyle w:val="Prrafodelista"/>
        <w:rPr>
          <w:rFonts w:cs="Tahoma"/>
          <w:color w:val="0070C0"/>
          <w:sz w:val="20"/>
          <w:szCs w:val="20"/>
          <w:lang w:val="en-US"/>
        </w:rPr>
      </w:pPr>
    </w:p>
    <w:p w:rsidR="0029299D" w:rsidRPr="006366B7" w:rsidRDefault="0029299D" w:rsidP="008D26A0">
      <w:pPr>
        <w:pStyle w:val="Prrafodelista"/>
        <w:numPr>
          <w:ilvl w:val="0"/>
          <w:numId w:val="24"/>
        </w:numPr>
        <w:jc w:val="both"/>
        <w:rPr>
          <w:color w:val="0070C0"/>
          <w:sz w:val="20"/>
          <w:szCs w:val="20"/>
          <w:lang w:val="en-US"/>
        </w:rPr>
      </w:pPr>
      <w:r w:rsidRPr="00340F68">
        <w:rPr>
          <w:rFonts w:cs="Arial"/>
          <w:color w:val="0070C0"/>
          <w:sz w:val="20"/>
          <w:szCs w:val="20"/>
          <w:lang w:val="en-US"/>
        </w:rPr>
        <w:lastRenderedPageBreak/>
        <w:t xml:space="preserve">Rossi et al. Integration of Homeopathy and Complementary Medicine in the Tuscan Public Health System and the Experience of the Homeopathic Clinic of the Lucca Hospital. </w:t>
      </w:r>
      <w:hyperlink r:id="rId14" w:tooltip="Homeopathy : the journal of the Faculty of Homeopathy." w:history="1">
        <w:proofErr w:type="spellStart"/>
        <w:r w:rsidRPr="00340F68">
          <w:rPr>
            <w:rFonts w:cs="Arial"/>
            <w:color w:val="0070C0"/>
            <w:sz w:val="20"/>
            <w:szCs w:val="20"/>
            <w:u w:val="single"/>
          </w:rPr>
          <w:t>Homeopathy</w:t>
        </w:r>
        <w:proofErr w:type="spellEnd"/>
        <w:r w:rsidRPr="00340F68">
          <w:rPr>
            <w:rFonts w:cs="Arial"/>
            <w:color w:val="0070C0"/>
            <w:sz w:val="20"/>
            <w:szCs w:val="20"/>
            <w:u w:val="single"/>
          </w:rPr>
          <w:t>.</w:t>
        </w:r>
      </w:hyperlink>
      <w:r w:rsidRPr="00340F68">
        <w:rPr>
          <w:rFonts w:cs="Arial"/>
          <w:color w:val="0070C0"/>
          <w:sz w:val="20"/>
          <w:szCs w:val="20"/>
        </w:rPr>
        <w:t xml:space="preserve"> 2018 May;107(2):90-98</w:t>
      </w:r>
    </w:p>
    <w:p w:rsidR="006366B7" w:rsidRPr="006366B7" w:rsidRDefault="006366B7" w:rsidP="008D26A0">
      <w:pPr>
        <w:pStyle w:val="Prrafodelista"/>
        <w:numPr>
          <w:ilvl w:val="0"/>
          <w:numId w:val="24"/>
        </w:numPr>
        <w:autoSpaceDE w:val="0"/>
        <w:autoSpaceDN w:val="0"/>
        <w:adjustRightInd w:val="0"/>
        <w:rPr>
          <w:rFonts w:cs="Gautami"/>
          <w:color w:val="0070C0"/>
          <w:sz w:val="20"/>
          <w:szCs w:val="20"/>
          <w:lang w:val="en-US"/>
        </w:rPr>
      </w:pPr>
      <w:proofErr w:type="gramStart"/>
      <w:r w:rsidRPr="006366B7">
        <w:rPr>
          <w:rFonts w:cs="Gautami"/>
          <w:color w:val="0070C0"/>
          <w:sz w:val="20"/>
          <w:szCs w:val="20"/>
          <w:lang w:val="en-US"/>
        </w:rPr>
        <w:t>Kay  PH</w:t>
      </w:r>
      <w:proofErr w:type="gramEnd"/>
      <w:r w:rsidRPr="006366B7">
        <w:rPr>
          <w:rFonts w:cs="Gautami"/>
          <w:color w:val="0070C0"/>
          <w:sz w:val="20"/>
          <w:szCs w:val="20"/>
          <w:lang w:val="en-US"/>
        </w:rPr>
        <w:t xml:space="preserve">,  </w:t>
      </w:r>
      <w:proofErr w:type="spellStart"/>
      <w:r w:rsidRPr="006366B7">
        <w:rPr>
          <w:rFonts w:cs="Gautami"/>
          <w:color w:val="0070C0"/>
          <w:sz w:val="20"/>
          <w:szCs w:val="20"/>
          <w:lang w:val="en-US"/>
        </w:rPr>
        <w:t>Khuda</w:t>
      </w:r>
      <w:r w:rsidRPr="006366B7">
        <w:rPr>
          <w:rFonts w:eastAsia="MS Gothic" w:hAnsi="MS Gothic" w:cs="MS Gothic"/>
          <w:color w:val="0070C0"/>
          <w:sz w:val="20"/>
          <w:szCs w:val="20"/>
          <w:lang w:val="en-US"/>
        </w:rPr>
        <w:t>‑</w:t>
      </w:r>
      <w:r w:rsidRPr="006366B7">
        <w:rPr>
          <w:rFonts w:cs="Gautami"/>
          <w:color w:val="0070C0"/>
          <w:sz w:val="20"/>
          <w:szCs w:val="20"/>
          <w:lang w:val="en-US"/>
        </w:rPr>
        <w:t>Bukhsh</w:t>
      </w:r>
      <w:proofErr w:type="spellEnd"/>
      <w:r w:rsidRPr="006366B7">
        <w:rPr>
          <w:rFonts w:cs="Gautami"/>
          <w:color w:val="0070C0"/>
          <w:sz w:val="20"/>
          <w:szCs w:val="20"/>
          <w:lang w:val="en-US"/>
        </w:rPr>
        <w:t xml:space="preserve">  AR.  </w:t>
      </w:r>
      <w:proofErr w:type="gramStart"/>
      <w:r w:rsidRPr="006366B7">
        <w:rPr>
          <w:rFonts w:cs="Gautami"/>
          <w:color w:val="0070C0"/>
          <w:sz w:val="20"/>
          <w:szCs w:val="20"/>
          <w:lang w:val="en-US"/>
        </w:rPr>
        <w:t>The  contribution</w:t>
      </w:r>
      <w:proofErr w:type="gramEnd"/>
      <w:r w:rsidRPr="006366B7">
        <w:rPr>
          <w:rFonts w:cs="Gautami"/>
          <w:color w:val="0070C0"/>
          <w:sz w:val="20"/>
          <w:szCs w:val="20"/>
          <w:lang w:val="en-US"/>
        </w:rPr>
        <w:t xml:space="preserve">  of  </w:t>
      </w:r>
      <w:proofErr w:type="spellStart"/>
      <w:r w:rsidRPr="006366B7">
        <w:rPr>
          <w:rFonts w:cs="Gautami"/>
          <w:color w:val="0070C0"/>
          <w:sz w:val="20"/>
          <w:szCs w:val="20"/>
          <w:lang w:val="en-US"/>
        </w:rPr>
        <w:t>homeogenomic</w:t>
      </w:r>
      <w:proofErr w:type="spellEnd"/>
      <w:r w:rsidRPr="006366B7">
        <w:rPr>
          <w:rFonts w:cs="Gautami"/>
          <w:color w:val="0070C0"/>
          <w:sz w:val="20"/>
          <w:szCs w:val="20"/>
          <w:lang w:val="en-US"/>
        </w:rPr>
        <w:t xml:space="preserve">  and  </w:t>
      </w:r>
      <w:proofErr w:type="spellStart"/>
      <w:r w:rsidRPr="006366B7">
        <w:rPr>
          <w:rFonts w:cs="Gautami"/>
          <w:color w:val="0070C0"/>
          <w:sz w:val="20"/>
          <w:szCs w:val="20"/>
          <w:lang w:val="en-US"/>
        </w:rPr>
        <w:t>homeogenetic</w:t>
      </w:r>
      <w:proofErr w:type="spellEnd"/>
      <w:r w:rsidRPr="006366B7">
        <w:rPr>
          <w:rFonts w:cs="Gautami"/>
          <w:color w:val="0070C0"/>
          <w:sz w:val="20"/>
          <w:szCs w:val="20"/>
          <w:lang w:val="en-US"/>
        </w:rPr>
        <w:t xml:space="preserve">  studies  in  the  support of the practice of Homoeopathy. Indian J Res Homoeopathy 2016</w:t>
      </w:r>
      <w:proofErr w:type="gramStart"/>
      <w:r w:rsidRPr="006366B7">
        <w:rPr>
          <w:rFonts w:cs="Gautami"/>
          <w:color w:val="0070C0"/>
          <w:sz w:val="20"/>
          <w:szCs w:val="20"/>
          <w:lang w:val="en-US"/>
        </w:rPr>
        <w:t>;10:101</w:t>
      </w:r>
      <w:proofErr w:type="gramEnd"/>
      <w:r w:rsidRPr="006366B7">
        <w:rPr>
          <w:rFonts w:eastAsia="MS Gothic" w:hAnsi="MS Gothic" w:cs="MS Gothic"/>
          <w:color w:val="0070C0"/>
          <w:sz w:val="20"/>
          <w:szCs w:val="20"/>
          <w:lang w:val="en-US"/>
        </w:rPr>
        <w:t>‑</w:t>
      </w:r>
      <w:r w:rsidRPr="006366B7">
        <w:rPr>
          <w:rFonts w:cs="Gautami"/>
          <w:color w:val="0070C0"/>
          <w:sz w:val="20"/>
          <w:szCs w:val="20"/>
          <w:lang w:val="en-US"/>
        </w:rPr>
        <w:t xml:space="preserve">7. </w:t>
      </w:r>
    </w:p>
    <w:p w:rsidR="00FC6294" w:rsidRDefault="00FC6294" w:rsidP="008D26A0">
      <w:pPr>
        <w:ind w:left="360"/>
        <w:rPr>
          <w:rFonts w:cs="Arial"/>
          <w:color w:val="0070C0"/>
          <w:sz w:val="20"/>
          <w:szCs w:val="20"/>
          <w:lang w:val="en-GB"/>
        </w:rPr>
      </w:pPr>
      <w:r w:rsidRPr="00FC6294">
        <w:rPr>
          <w:rFonts w:cs="Arial"/>
          <w:b/>
          <w:color w:val="0070C0"/>
          <w:sz w:val="20"/>
          <w:szCs w:val="20"/>
          <w:lang w:val="en-GB"/>
        </w:rPr>
        <w:t>(</w:t>
      </w:r>
      <w:r w:rsidR="000D22F1" w:rsidRPr="00FC6294">
        <w:rPr>
          <w:rFonts w:cs="Arial"/>
          <w:color w:val="0070C0"/>
          <w:sz w:val="20"/>
          <w:szCs w:val="20"/>
          <w:lang w:val="en-GB"/>
        </w:rPr>
        <w:t>16</w:t>
      </w:r>
      <w:r w:rsidRPr="00FC6294">
        <w:rPr>
          <w:rFonts w:cs="Arial"/>
          <w:color w:val="0070C0"/>
          <w:sz w:val="20"/>
          <w:szCs w:val="20"/>
          <w:lang w:val="en-GB"/>
        </w:rPr>
        <w:t>)</w:t>
      </w:r>
      <w:r w:rsidR="000D22F1" w:rsidRPr="00FC6294">
        <w:rPr>
          <w:rFonts w:cs="Arial"/>
          <w:color w:val="0070C0"/>
          <w:sz w:val="20"/>
          <w:szCs w:val="20"/>
          <w:lang w:val="en-GB"/>
        </w:rPr>
        <w:t xml:space="preserve">ES </w:t>
      </w:r>
      <w:proofErr w:type="spellStart"/>
      <w:r w:rsidR="000D22F1" w:rsidRPr="00FC6294">
        <w:rPr>
          <w:rFonts w:cs="Arial"/>
          <w:color w:val="0070C0"/>
          <w:sz w:val="20"/>
          <w:szCs w:val="20"/>
          <w:lang w:val="en-GB"/>
        </w:rPr>
        <w:t>Rajendran</w:t>
      </w:r>
      <w:proofErr w:type="spellEnd"/>
      <w:r w:rsidR="000D22F1" w:rsidRPr="00FC6294">
        <w:rPr>
          <w:rFonts w:cs="Arial"/>
          <w:color w:val="0070C0"/>
          <w:sz w:val="20"/>
          <w:szCs w:val="20"/>
          <w:lang w:val="en-GB"/>
        </w:rPr>
        <w:t xml:space="preserve">. An evaluation of Avogadro’s number in the light of HRTEM and EDS studies of high dilutions of </w:t>
      </w:r>
      <w:proofErr w:type="spellStart"/>
      <w:r w:rsidR="000D22F1" w:rsidRPr="00FC6294">
        <w:rPr>
          <w:rFonts w:cs="Arial"/>
          <w:color w:val="0070C0"/>
          <w:sz w:val="20"/>
          <w:szCs w:val="20"/>
          <w:lang w:val="en-GB"/>
        </w:rPr>
        <w:t>Ferrum</w:t>
      </w:r>
      <w:proofErr w:type="spellEnd"/>
      <w:r w:rsidR="000D22F1" w:rsidRPr="00FC6294">
        <w:rPr>
          <w:rFonts w:cs="Arial"/>
          <w:color w:val="0070C0"/>
          <w:sz w:val="20"/>
          <w:szCs w:val="20"/>
          <w:lang w:val="en-GB"/>
        </w:rPr>
        <w:t xml:space="preserve"> </w:t>
      </w:r>
      <w:proofErr w:type="spellStart"/>
      <w:r w:rsidR="000D22F1" w:rsidRPr="00FC6294">
        <w:rPr>
          <w:rFonts w:cs="Arial"/>
          <w:color w:val="0070C0"/>
          <w:sz w:val="20"/>
          <w:szCs w:val="20"/>
          <w:lang w:val="en-GB"/>
        </w:rPr>
        <w:t>metallicum</w:t>
      </w:r>
      <w:proofErr w:type="spellEnd"/>
      <w:r w:rsidR="000D22F1" w:rsidRPr="00FC6294">
        <w:rPr>
          <w:rFonts w:cs="Arial"/>
          <w:color w:val="0070C0"/>
          <w:sz w:val="20"/>
          <w:szCs w:val="20"/>
          <w:lang w:val="en-GB"/>
        </w:rPr>
        <w:t xml:space="preserve"> 6,30,200, 1M, 10M and 50Mc. </w:t>
      </w:r>
      <w:proofErr w:type="spellStart"/>
      <w:r w:rsidR="000D22F1" w:rsidRPr="00FC6294">
        <w:rPr>
          <w:rFonts w:cs="Arial"/>
          <w:color w:val="0070C0"/>
          <w:sz w:val="20"/>
          <w:szCs w:val="20"/>
          <w:lang w:val="en-GB"/>
        </w:rPr>
        <w:t>Int</w:t>
      </w:r>
      <w:proofErr w:type="spellEnd"/>
      <w:r w:rsidR="000D22F1" w:rsidRPr="00FC6294">
        <w:rPr>
          <w:rFonts w:cs="Arial"/>
          <w:color w:val="0070C0"/>
          <w:sz w:val="20"/>
          <w:szCs w:val="20"/>
          <w:lang w:val="en-GB"/>
        </w:rPr>
        <w:t xml:space="preserve"> J. High Dilution Res 2015; 14 (3): 3-9</w:t>
      </w:r>
    </w:p>
    <w:p w:rsidR="00FC6294" w:rsidRDefault="00FC6294" w:rsidP="008D26A0">
      <w:pPr>
        <w:ind w:left="360"/>
        <w:rPr>
          <w:rFonts w:cs="Arial"/>
          <w:color w:val="0070C0"/>
          <w:sz w:val="20"/>
          <w:szCs w:val="20"/>
          <w:lang w:val="en-GB"/>
        </w:rPr>
      </w:pPr>
      <w:r w:rsidRPr="00FC6294">
        <w:rPr>
          <w:rFonts w:cs="Arial"/>
          <w:color w:val="0070C0"/>
          <w:sz w:val="20"/>
          <w:szCs w:val="20"/>
          <w:lang w:val="en-GB"/>
        </w:rPr>
        <w:t>(</w:t>
      </w:r>
      <w:r w:rsidR="000D22F1" w:rsidRPr="00FC6294">
        <w:rPr>
          <w:rFonts w:cs="Arial"/>
          <w:color w:val="0070C0"/>
          <w:sz w:val="20"/>
          <w:szCs w:val="20"/>
          <w:lang w:val="en-GB"/>
        </w:rPr>
        <w:t>17</w:t>
      </w:r>
      <w:r w:rsidRPr="00FC6294">
        <w:rPr>
          <w:rFonts w:cs="Arial"/>
          <w:color w:val="0070C0"/>
          <w:sz w:val="20"/>
          <w:szCs w:val="20"/>
          <w:lang w:val="en-GB"/>
        </w:rPr>
        <w:t xml:space="preserve">) </w:t>
      </w:r>
      <w:proofErr w:type="spellStart"/>
      <w:r w:rsidRPr="00FC6294">
        <w:rPr>
          <w:rFonts w:cs="Arial"/>
          <w:color w:val="0070C0"/>
          <w:sz w:val="20"/>
          <w:szCs w:val="20"/>
          <w:lang w:val="en-GB"/>
        </w:rPr>
        <w:t>Ma</w:t>
      </w:r>
      <w:r w:rsidR="000D22F1" w:rsidRPr="00FC6294">
        <w:rPr>
          <w:rFonts w:cs="Arial"/>
          <w:color w:val="0070C0"/>
          <w:sz w:val="20"/>
          <w:szCs w:val="20"/>
          <w:lang w:val="en-GB"/>
        </w:rPr>
        <w:t>rzotto</w:t>
      </w:r>
      <w:proofErr w:type="spellEnd"/>
      <w:r w:rsidR="000D22F1" w:rsidRPr="00FC6294">
        <w:rPr>
          <w:rFonts w:cs="Arial"/>
          <w:color w:val="0070C0"/>
          <w:sz w:val="20"/>
          <w:szCs w:val="20"/>
          <w:lang w:val="en-GB"/>
        </w:rPr>
        <w:t xml:space="preserve"> M, </w:t>
      </w:r>
      <w:proofErr w:type="spellStart"/>
      <w:r w:rsidR="000D22F1" w:rsidRPr="00FC6294">
        <w:rPr>
          <w:rFonts w:cs="Arial"/>
          <w:color w:val="0070C0"/>
          <w:sz w:val="20"/>
          <w:szCs w:val="20"/>
          <w:lang w:val="en-GB"/>
        </w:rPr>
        <w:t>Bonafini</w:t>
      </w:r>
      <w:proofErr w:type="spellEnd"/>
      <w:r w:rsidR="000D22F1" w:rsidRPr="00FC6294">
        <w:rPr>
          <w:rFonts w:cs="Arial"/>
          <w:color w:val="0070C0"/>
          <w:sz w:val="20"/>
          <w:szCs w:val="20"/>
          <w:lang w:val="en-GB"/>
        </w:rPr>
        <w:t xml:space="preserve"> C, </w:t>
      </w:r>
      <w:proofErr w:type="spellStart"/>
      <w:r w:rsidR="000D22F1" w:rsidRPr="00FC6294">
        <w:rPr>
          <w:rFonts w:cs="Arial"/>
          <w:color w:val="0070C0"/>
          <w:sz w:val="20"/>
          <w:szCs w:val="20"/>
          <w:lang w:val="en-GB"/>
        </w:rPr>
        <w:t>Olioso</w:t>
      </w:r>
      <w:proofErr w:type="spellEnd"/>
      <w:r w:rsidR="000D22F1" w:rsidRPr="00FC6294">
        <w:rPr>
          <w:rFonts w:cs="Arial"/>
          <w:color w:val="0070C0"/>
          <w:sz w:val="20"/>
          <w:szCs w:val="20"/>
          <w:lang w:val="en-GB"/>
        </w:rPr>
        <w:t xml:space="preserve"> D, </w:t>
      </w:r>
      <w:proofErr w:type="spellStart"/>
      <w:r w:rsidR="000D22F1" w:rsidRPr="00FC6294">
        <w:rPr>
          <w:rFonts w:cs="Arial"/>
          <w:color w:val="0070C0"/>
          <w:sz w:val="20"/>
          <w:szCs w:val="20"/>
          <w:lang w:val="en-GB"/>
        </w:rPr>
        <w:t>Holandino</w:t>
      </w:r>
      <w:proofErr w:type="spellEnd"/>
      <w:r w:rsidR="000D22F1" w:rsidRPr="00FC6294">
        <w:rPr>
          <w:rFonts w:cs="Arial"/>
          <w:color w:val="0070C0"/>
          <w:sz w:val="20"/>
          <w:szCs w:val="20"/>
          <w:lang w:val="en-GB"/>
        </w:rPr>
        <w:t xml:space="preserve"> C, </w:t>
      </w:r>
      <w:proofErr w:type="spellStart"/>
      <w:r w:rsidR="000D22F1" w:rsidRPr="00FC6294">
        <w:rPr>
          <w:rFonts w:cs="Arial"/>
          <w:color w:val="0070C0"/>
          <w:sz w:val="20"/>
          <w:szCs w:val="20"/>
          <w:lang w:val="en-GB"/>
        </w:rPr>
        <w:t>Bonamin</w:t>
      </w:r>
      <w:proofErr w:type="spellEnd"/>
      <w:r w:rsidR="000D22F1" w:rsidRPr="00FC6294">
        <w:rPr>
          <w:rFonts w:cs="Arial"/>
          <w:color w:val="0070C0"/>
          <w:sz w:val="20"/>
          <w:szCs w:val="20"/>
          <w:lang w:val="en-GB"/>
        </w:rPr>
        <w:t xml:space="preserve"> L, </w:t>
      </w:r>
      <w:proofErr w:type="spellStart"/>
      <w:r w:rsidR="000D22F1" w:rsidRPr="00FC6294">
        <w:rPr>
          <w:rFonts w:cs="Arial"/>
          <w:color w:val="0070C0"/>
          <w:sz w:val="20"/>
          <w:szCs w:val="20"/>
          <w:lang w:val="en-GB"/>
        </w:rPr>
        <w:t>Prosperi</w:t>
      </w:r>
      <w:proofErr w:type="spellEnd"/>
      <w:r w:rsidR="000D22F1" w:rsidRPr="00FC6294">
        <w:rPr>
          <w:rFonts w:cs="Arial"/>
          <w:color w:val="0070C0"/>
          <w:sz w:val="20"/>
          <w:szCs w:val="20"/>
          <w:lang w:val="en-GB"/>
        </w:rPr>
        <w:t xml:space="preserve"> D, </w:t>
      </w:r>
      <w:proofErr w:type="spellStart"/>
      <w:r w:rsidR="000D22F1" w:rsidRPr="00FC6294">
        <w:rPr>
          <w:rFonts w:cs="Arial"/>
          <w:color w:val="0070C0"/>
          <w:sz w:val="20"/>
          <w:szCs w:val="20"/>
          <w:lang w:val="en-GB"/>
        </w:rPr>
        <w:t>Marinozzi</w:t>
      </w:r>
      <w:proofErr w:type="spellEnd"/>
      <w:r w:rsidR="000D22F1" w:rsidRPr="00FC6294">
        <w:rPr>
          <w:rFonts w:cs="Arial"/>
          <w:color w:val="0070C0"/>
          <w:sz w:val="20"/>
          <w:szCs w:val="20"/>
          <w:lang w:val="en-GB"/>
        </w:rPr>
        <w:t xml:space="preserve"> M, </w:t>
      </w:r>
      <w:proofErr w:type="spellStart"/>
      <w:r w:rsidR="000D22F1" w:rsidRPr="00FC6294">
        <w:rPr>
          <w:rFonts w:cs="Arial"/>
          <w:color w:val="0070C0"/>
          <w:sz w:val="20"/>
          <w:szCs w:val="20"/>
          <w:lang w:val="en-GB"/>
        </w:rPr>
        <w:t>Bernardi</w:t>
      </w:r>
      <w:proofErr w:type="spellEnd"/>
      <w:r w:rsidR="000D22F1" w:rsidRPr="00FC6294">
        <w:rPr>
          <w:rFonts w:cs="Arial"/>
          <w:color w:val="0070C0"/>
          <w:sz w:val="20"/>
          <w:szCs w:val="20"/>
          <w:lang w:val="en-GB"/>
        </w:rPr>
        <w:t xml:space="preserve"> P, </w:t>
      </w:r>
      <w:proofErr w:type="spellStart"/>
      <w:r w:rsidR="000D22F1" w:rsidRPr="00FC6294">
        <w:rPr>
          <w:rFonts w:cs="Arial"/>
          <w:color w:val="0070C0"/>
          <w:sz w:val="20"/>
          <w:szCs w:val="20"/>
          <w:lang w:val="en-GB"/>
        </w:rPr>
        <w:t>Bellavite</w:t>
      </w:r>
      <w:proofErr w:type="spellEnd"/>
      <w:r w:rsidR="000D22F1" w:rsidRPr="00FC6294">
        <w:rPr>
          <w:rFonts w:cs="Arial"/>
          <w:color w:val="0070C0"/>
          <w:sz w:val="20"/>
          <w:szCs w:val="20"/>
          <w:lang w:val="en-GB"/>
        </w:rPr>
        <w:t xml:space="preserve"> P. Detection </w:t>
      </w:r>
      <w:proofErr w:type="spellStart"/>
      <w:r w:rsidR="000D22F1" w:rsidRPr="00FC6294">
        <w:rPr>
          <w:rFonts w:cs="Arial"/>
          <w:color w:val="0070C0"/>
          <w:sz w:val="20"/>
          <w:szCs w:val="20"/>
          <w:lang w:val="en-GB"/>
        </w:rPr>
        <w:t>os</w:t>
      </w:r>
      <w:proofErr w:type="spellEnd"/>
      <w:r w:rsidR="000D22F1" w:rsidRPr="00FC6294">
        <w:rPr>
          <w:rFonts w:cs="Arial"/>
          <w:color w:val="0070C0"/>
          <w:sz w:val="20"/>
          <w:szCs w:val="20"/>
          <w:lang w:val="en-GB"/>
        </w:rPr>
        <w:t xml:space="preserve"> nanostructures in solutions of </w:t>
      </w:r>
      <w:proofErr w:type="spellStart"/>
      <w:r w:rsidR="000D22F1" w:rsidRPr="00FC6294">
        <w:rPr>
          <w:rFonts w:cs="Arial"/>
          <w:color w:val="0070C0"/>
          <w:sz w:val="20"/>
          <w:szCs w:val="20"/>
          <w:lang w:val="en-GB"/>
        </w:rPr>
        <w:t>Zincum</w:t>
      </w:r>
      <w:proofErr w:type="spellEnd"/>
      <w:r w:rsidR="000D22F1" w:rsidRPr="00FC6294">
        <w:rPr>
          <w:rFonts w:cs="Arial"/>
          <w:color w:val="0070C0"/>
          <w:sz w:val="20"/>
          <w:szCs w:val="20"/>
          <w:lang w:val="en-GB"/>
        </w:rPr>
        <w:t xml:space="preserve"> </w:t>
      </w:r>
      <w:proofErr w:type="spellStart"/>
      <w:r w:rsidR="000D22F1" w:rsidRPr="00FC6294">
        <w:rPr>
          <w:rFonts w:cs="Arial"/>
          <w:color w:val="0070C0"/>
          <w:sz w:val="20"/>
          <w:szCs w:val="20"/>
          <w:lang w:val="en-GB"/>
        </w:rPr>
        <w:t>metallicum</w:t>
      </w:r>
      <w:proofErr w:type="spellEnd"/>
      <w:r w:rsidR="000D22F1" w:rsidRPr="00FC6294">
        <w:rPr>
          <w:rFonts w:cs="Arial"/>
          <w:color w:val="0070C0"/>
          <w:sz w:val="20"/>
          <w:szCs w:val="20"/>
          <w:lang w:val="en-GB"/>
        </w:rPr>
        <w:t xml:space="preserve"> and the vehicle lactose. </w:t>
      </w:r>
      <w:proofErr w:type="spellStart"/>
      <w:r w:rsidR="000D22F1" w:rsidRPr="00FC6294">
        <w:rPr>
          <w:rFonts w:cs="Arial"/>
          <w:color w:val="0070C0"/>
          <w:sz w:val="20"/>
          <w:szCs w:val="20"/>
          <w:lang w:val="en-GB"/>
        </w:rPr>
        <w:t>Int</w:t>
      </w:r>
      <w:proofErr w:type="spellEnd"/>
      <w:r w:rsidR="000D22F1" w:rsidRPr="00FC6294">
        <w:rPr>
          <w:rFonts w:cs="Arial"/>
          <w:color w:val="0070C0"/>
          <w:sz w:val="20"/>
          <w:szCs w:val="20"/>
          <w:lang w:val="en-GB"/>
        </w:rPr>
        <w:t xml:space="preserve"> J. High Dilution Res 2015; 14(2): 41-44</w:t>
      </w:r>
    </w:p>
    <w:p w:rsidR="000D22F1" w:rsidRPr="00FC6294" w:rsidRDefault="00FC6294" w:rsidP="008D26A0">
      <w:pPr>
        <w:ind w:left="360"/>
        <w:rPr>
          <w:iCs/>
          <w:color w:val="0070C0"/>
          <w:sz w:val="20"/>
          <w:szCs w:val="20"/>
          <w:lang w:val="en-US"/>
        </w:rPr>
      </w:pPr>
      <w:r w:rsidRPr="00FC6294">
        <w:rPr>
          <w:rFonts w:cs="Arial"/>
          <w:color w:val="0070C0"/>
          <w:sz w:val="20"/>
          <w:szCs w:val="20"/>
          <w:lang w:val="en-GB"/>
        </w:rPr>
        <w:t>(</w:t>
      </w:r>
      <w:r w:rsidR="000D22F1" w:rsidRPr="00FC6294">
        <w:rPr>
          <w:rFonts w:cs="Arial"/>
          <w:color w:val="0070C0"/>
          <w:sz w:val="20"/>
          <w:szCs w:val="20"/>
          <w:lang w:val="en-GB"/>
        </w:rPr>
        <w:t>18</w:t>
      </w:r>
      <w:r w:rsidRPr="00FC6294">
        <w:rPr>
          <w:rFonts w:cs="Arial"/>
          <w:color w:val="0070C0"/>
          <w:sz w:val="20"/>
          <w:szCs w:val="20"/>
          <w:lang w:val="en-GB"/>
        </w:rPr>
        <w:t>)</w:t>
      </w:r>
      <w:r w:rsidR="000D22F1" w:rsidRPr="00FC6294">
        <w:rPr>
          <w:b/>
          <w:bCs/>
          <w:color w:val="0070C0"/>
          <w:lang w:val="en-GB"/>
        </w:rPr>
        <w:t xml:space="preserve"> </w:t>
      </w:r>
      <w:proofErr w:type="spellStart"/>
      <w:r w:rsidR="000D22F1" w:rsidRPr="00FC6294">
        <w:rPr>
          <w:bCs/>
          <w:color w:val="0070C0"/>
          <w:sz w:val="20"/>
          <w:szCs w:val="20"/>
          <w:lang w:val="en-GB"/>
        </w:rPr>
        <w:t>Subrata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Kar</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Poonam</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Bandyopadhyay</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Sweta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Chakraborty</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Monalisa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Chakrabarty</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Biplab</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kumar</w:t>
      </w:r>
      <w:proofErr w:type="spellEnd"/>
      <w:r w:rsidR="000D22F1" w:rsidRPr="00FC6294">
        <w:rPr>
          <w:bCs/>
          <w:color w:val="0070C0"/>
          <w:sz w:val="20"/>
          <w:szCs w:val="20"/>
          <w:lang w:val="en-GB"/>
        </w:rPr>
        <w:t xml:space="preserve"> Paul, </w:t>
      </w:r>
      <w:proofErr w:type="spellStart"/>
      <w:r w:rsidR="000D22F1" w:rsidRPr="00FC6294">
        <w:rPr>
          <w:bCs/>
          <w:color w:val="0070C0"/>
          <w:sz w:val="20"/>
          <w:szCs w:val="20"/>
          <w:lang w:val="en-GB"/>
        </w:rPr>
        <w:t>Sarbari</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Ghosh</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Ruma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Basu</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Sukhen</w:t>
      </w:r>
      <w:proofErr w:type="spellEnd"/>
      <w:r w:rsidR="000D22F1" w:rsidRPr="00FC6294">
        <w:rPr>
          <w:bCs/>
          <w:color w:val="0070C0"/>
          <w:sz w:val="20"/>
          <w:szCs w:val="20"/>
          <w:lang w:val="en-GB"/>
        </w:rPr>
        <w:t xml:space="preserve"> Das, </w:t>
      </w:r>
      <w:proofErr w:type="spellStart"/>
      <w:r w:rsidR="000D22F1" w:rsidRPr="00FC6294">
        <w:rPr>
          <w:bCs/>
          <w:color w:val="0070C0"/>
          <w:sz w:val="20"/>
          <w:szCs w:val="20"/>
          <w:lang w:val="en-GB"/>
        </w:rPr>
        <w:t>Durga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Sankar</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Bhar</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Rajkumar</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Manchanda</w:t>
      </w:r>
      <w:proofErr w:type="spellEnd"/>
      <w:r w:rsidR="000D22F1" w:rsidRPr="00FC6294">
        <w:rPr>
          <w:bCs/>
          <w:color w:val="0070C0"/>
          <w:sz w:val="20"/>
          <w:szCs w:val="20"/>
          <w:lang w:val="en-GB"/>
        </w:rPr>
        <w:t xml:space="preserve">, Anil </w:t>
      </w:r>
      <w:proofErr w:type="spellStart"/>
      <w:r w:rsidR="000D22F1" w:rsidRPr="00FC6294">
        <w:rPr>
          <w:bCs/>
          <w:color w:val="0070C0"/>
          <w:sz w:val="20"/>
          <w:szCs w:val="20"/>
          <w:lang w:val="en-GB"/>
        </w:rPr>
        <w:t>Khurana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Debadatta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Nayak</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Papiya</w:t>
      </w:r>
      <w:proofErr w:type="spellEnd"/>
      <w:r w:rsidR="000D22F1" w:rsidRPr="00FC6294">
        <w:rPr>
          <w:bCs/>
          <w:color w:val="0070C0"/>
          <w:sz w:val="20"/>
          <w:szCs w:val="20"/>
          <w:lang w:val="en-GB"/>
        </w:rPr>
        <w:t xml:space="preserve"> </w:t>
      </w:r>
      <w:proofErr w:type="spellStart"/>
      <w:r w:rsidR="000D22F1" w:rsidRPr="00FC6294">
        <w:rPr>
          <w:bCs/>
          <w:color w:val="0070C0"/>
          <w:sz w:val="20"/>
          <w:szCs w:val="20"/>
          <w:lang w:val="en-GB"/>
        </w:rPr>
        <w:t>Nandy</w:t>
      </w:r>
      <w:proofErr w:type="spellEnd"/>
      <w:r w:rsidR="000D22F1" w:rsidRPr="00FC6294">
        <w:rPr>
          <w:bCs/>
          <w:color w:val="0070C0"/>
          <w:sz w:val="20"/>
          <w:szCs w:val="20"/>
          <w:lang w:val="en-GB"/>
        </w:rPr>
        <w:t>.</w:t>
      </w:r>
      <w:r w:rsidR="000D22F1" w:rsidRPr="00FC6294">
        <w:rPr>
          <w:color w:val="0070C0"/>
          <w:lang w:val="en-US"/>
        </w:rPr>
        <w:t xml:space="preserve"> </w:t>
      </w:r>
      <w:r w:rsidR="000D22F1" w:rsidRPr="00FC6294">
        <w:rPr>
          <w:b/>
          <w:bCs/>
          <w:color w:val="0070C0"/>
          <w:sz w:val="20"/>
          <w:szCs w:val="20"/>
          <w:lang w:val="en-US"/>
        </w:rPr>
        <w:t xml:space="preserve">Derivation of an empirical relation between the size of the </w:t>
      </w:r>
      <w:proofErr w:type="spellStart"/>
      <w:r w:rsidR="000D22F1" w:rsidRPr="00FC6294">
        <w:rPr>
          <w:b/>
          <w:bCs/>
          <w:color w:val="0070C0"/>
          <w:sz w:val="20"/>
          <w:szCs w:val="20"/>
          <w:lang w:val="en-US"/>
        </w:rPr>
        <w:t>nanoparticle</w:t>
      </w:r>
      <w:proofErr w:type="spellEnd"/>
      <w:r w:rsidR="000D22F1" w:rsidRPr="00FC6294">
        <w:rPr>
          <w:b/>
          <w:bCs/>
          <w:color w:val="0070C0"/>
          <w:sz w:val="20"/>
          <w:szCs w:val="20"/>
          <w:lang w:val="en-US"/>
        </w:rPr>
        <w:t xml:space="preserve"> and the potency of homeopathic </w:t>
      </w:r>
      <w:proofErr w:type="gramStart"/>
      <w:r w:rsidR="000D22F1" w:rsidRPr="00FC6294">
        <w:rPr>
          <w:b/>
          <w:bCs/>
          <w:color w:val="0070C0"/>
          <w:sz w:val="20"/>
          <w:szCs w:val="20"/>
          <w:lang w:val="en-US"/>
        </w:rPr>
        <w:t>medicines .</w:t>
      </w:r>
      <w:proofErr w:type="gramEnd"/>
      <w:r w:rsidR="000D22F1" w:rsidRPr="00FC6294">
        <w:rPr>
          <w:color w:val="0070C0"/>
          <w:lang w:val="en-US"/>
        </w:rPr>
        <w:t xml:space="preserve">  </w:t>
      </w:r>
      <w:r w:rsidR="000D22F1" w:rsidRPr="00FC6294">
        <w:rPr>
          <w:iCs/>
          <w:color w:val="0070C0"/>
          <w:sz w:val="20"/>
          <w:szCs w:val="20"/>
          <w:lang w:val="en-US"/>
        </w:rPr>
        <w:t>International Journal of High Dilution Research 2015; 14(4):2-7</w:t>
      </w:r>
    </w:p>
    <w:p w:rsidR="000D22F1" w:rsidRPr="00FC6294" w:rsidRDefault="00FC6294" w:rsidP="008D26A0">
      <w:pPr>
        <w:pStyle w:val="Default"/>
        <w:spacing w:after="200" w:line="276" w:lineRule="auto"/>
        <w:ind w:left="360"/>
        <w:rPr>
          <w:rFonts w:asciiTheme="minorHAnsi" w:hAnsiTheme="minorHAnsi"/>
          <w:iCs/>
          <w:color w:val="0070C0"/>
          <w:sz w:val="20"/>
          <w:szCs w:val="20"/>
          <w:lang w:val="en-US"/>
        </w:rPr>
      </w:pPr>
      <w:r w:rsidRPr="00FC6294">
        <w:rPr>
          <w:rFonts w:asciiTheme="minorHAnsi" w:hAnsiTheme="minorHAnsi"/>
          <w:iCs/>
          <w:color w:val="0070C0"/>
          <w:sz w:val="20"/>
          <w:szCs w:val="20"/>
          <w:lang w:val="en-US"/>
        </w:rPr>
        <w:t>(</w:t>
      </w:r>
      <w:r w:rsidR="000D22F1" w:rsidRPr="00FC6294">
        <w:rPr>
          <w:rFonts w:asciiTheme="minorHAnsi" w:hAnsiTheme="minorHAnsi"/>
          <w:iCs/>
          <w:color w:val="0070C0"/>
          <w:sz w:val="20"/>
          <w:szCs w:val="20"/>
          <w:lang w:val="en-US"/>
        </w:rPr>
        <w:t>19</w:t>
      </w:r>
      <w:r w:rsidRPr="00FC6294">
        <w:rPr>
          <w:rFonts w:asciiTheme="minorHAnsi" w:hAnsiTheme="minorHAnsi"/>
          <w:iCs/>
          <w:color w:val="0070C0"/>
          <w:sz w:val="20"/>
          <w:szCs w:val="20"/>
          <w:lang w:val="en-US"/>
        </w:rPr>
        <w:t>)</w:t>
      </w:r>
      <w:r>
        <w:rPr>
          <w:rFonts w:asciiTheme="minorHAnsi" w:hAnsiTheme="minorHAnsi"/>
          <w:iCs/>
          <w:color w:val="0070C0"/>
          <w:sz w:val="20"/>
          <w:szCs w:val="20"/>
          <w:lang w:val="en-US"/>
        </w:rPr>
        <w:t xml:space="preserve"> </w:t>
      </w:r>
      <w:proofErr w:type="spellStart"/>
      <w:r w:rsidR="000D22F1" w:rsidRPr="00FC6294">
        <w:rPr>
          <w:rFonts w:asciiTheme="minorHAnsi" w:hAnsiTheme="minorHAnsi"/>
          <w:iCs/>
          <w:color w:val="0070C0"/>
          <w:sz w:val="20"/>
          <w:szCs w:val="20"/>
          <w:lang w:val="en-US"/>
        </w:rPr>
        <w:t>Prashant</w:t>
      </w:r>
      <w:proofErr w:type="spellEnd"/>
      <w:r w:rsidR="000D22F1" w:rsidRPr="00FC6294">
        <w:rPr>
          <w:rFonts w:asciiTheme="minorHAnsi" w:hAnsiTheme="minorHAnsi"/>
          <w:iCs/>
          <w:color w:val="0070C0"/>
          <w:sz w:val="20"/>
          <w:szCs w:val="20"/>
          <w:lang w:val="en-US"/>
        </w:rPr>
        <w:t xml:space="preserve"> </w:t>
      </w:r>
      <w:proofErr w:type="spellStart"/>
      <w:proofErr w:type="gramStart"/>
      <w:r w:rsidR="000D22F1" w:rsidRPr="00FC6294">
        <w:rPr>
          <w:rFonts w:asciiTheme="minorHAnsi" w:hAnsiTheme="minorHAnsi"/>
          <w:iCs/>
          <w:color w:val="0070C0"/>
          <w:sz w:val="20"/>
          <w:szCs w:val="20"/>
          <w:lang w:val="en-US"/>
        </w:rPr>
        <w:t>Satish</w:t>
      </w:r>
      <w:proofErr w:type="spellEnd"/>
      <w:r w:rsidR="000D22F1" w:rsidRPr="00FC6294">
        <w:rPr>
          <w:rFonts w:asciiTheme="minorHAnsi" w:hAnsiTheme="minorHAnsi"/>
          <w:iCs/>
          <w:color w:val="0070C0"/>
          <w:sz w:val="20"/>
          <w:szCs w:val="20"/>
          <w:lang w:val="en-US"/>
        </w:rPr>
        <w:t xml:space="preserve">  </w:t>
      </w:r>
      <w:proofErr w:type="spellStart"/>
      <w:r w:rsidR="000D22F1" w:rsidRPr="00FC6294">
        <w:rPr>
          <w:rFonts w:asciiTheme="minorHAnsi" w:hAnsiTheme="minorHAnsi"/>
          <w:iCs/>
          <w:color w:val="0070C0"/>
          <w:sz w:val="20"/>
          <w:szCs w:val="20"/>
          <w:lang w:val="en-US"/>
        </w:rPr>
        <w:t>Chikramane</w:t>
      </w:r>
      <w:r w:rsidR="000D22F1" w:rsidRPr="00FC6294">
        <w:rPr>
          <w:rFonts w:asciiTheme="minorHAnsi" w:hAnsiTheme="minorHAnsi"/>
          <w:b/>
          <w:iCs/>
          <w:color w:val="0070C0"/>
          <w:sz w:val="20"/>
          <w:szCs w:val="20"/>
          <w:lang w:val="en-US"/>
        </w:rPr>
        <w:t>.</w:t>
      </w:r>
      <w:r w:rsidR="000D22F1" w:rsidRPr="00FC6294">
        <w:rPr>
          <w:rFonts w:asciiTheme="minorHAnsi" w:hAnsiTheme="minorHAnsi"/>
          <w:iCs/>
          <w:color w:val="0070C0"/>
          <w:sz w:val="20"/>
          <w:szCs w:val="20"/>
          <w:lang w:val="en-US"/>
        </w:rPr>
        <w:t>Why</w:t>
      </w:r>
      <w:proofErr w:type="spellEnd"/>
      <w:proofErr w:type="gramEnd"/>
      <w:r w:rsidR="000D22F1" w:rsidRPr="00FC6294">
        <w:rPr>
          <w:rFonts w:asciiTheme="minorHAnsi" w:hAnsiTheme="minorHAnsi"/>
          <w:iCs/>
          <w:color w:val="0070C0"/>
          <w:sz w:val="20"/>
          <w:szCs w:val="20"/>
          <w:lang w:val="en-US"/>
        </w:rPr>
        <w:t xml:space="preserve"> extreme dilutions reach non-zero asymptotes: a </w:t>
      </w:r>
      <w:proofErr w:type="spellStart"/>
      <w:r w:rsidR="000D22F1" w:rsidRPr="00FC6294">
        <w:rPr>
          <w:rFonts w:asciiTheme="minorHAnsi" w:hAnsiTheme="minorHAnsi"/>
          <w:iCs/>
          <w:color w:val="0070C0"/>
          <w:sz w:val="20"/>
          <w:szCs w:val="20"/>
          <w:lang w:val="en-US"/>
        </w:rPr>
        <w:t>nanoparticle</w:t>
      </w:r>
      <w:proofErr w:type="spellEnd"/>
      <w:r w:rsidR="000D22F1" w:rsidRPr="00FC6294">
        <w:rPr>
          <w:rFonts w:asciiTheme="minorHAnsi" w:hAnsiTheme="minorHAnsi"/>
          <w:iCs/>
          <w:color w:val="0070C0"/>
          <w:sz w:val="20"/>
          <w:szCs w:val="20"/>
          <w:lang w:val="en-US"/>
        </w:rPr>
        <w:t xml:space="preserve"> hypothesis </w:t>
      </w:r>
      <w:proofErr w:type="spellStart"/>
      <w:r w:rsidR="000D22F1" w:rsidRPr="00FC6294">
        <w:rPr>
          <w:rFonts w:asciiTheme="minorHAnsi" w:hAnsiTheme="minorHAnsi"/>
          <w:iCs/>
          <w:color w:val="0070C0"/>
          <w:sz w:val="20"/>
          <w:szCs w:val="20"/>
          <w:lang w:val="en-US"/>
        </w:rPr>
        <w:t>base don</w:t>
      </w:r>
      <w:proofErr w:type="spellEnd"/>
      <w:r w:rsidR="000D22F1" w:rsidRPr="00FC6294">
        <w:rPr>
          <w:rFonts w:asciiTheme="minorHAnsi" w:hAnsiTheme="minorHAnsi"/>
          <w:iCs/>
          <w:color w:val="0070C0"/>
          <w:sz w:val="20"/>
          <w:szCs w:val="20"/>
          <w:lang w:val="en-US"/>
        </w:rPr>
        <w:t xml:space="preserve"> froth flotation. </w:t>
      </w:r>
      <w:hyperlink r:id="rId15" w:history="1">
        <w:r w:rsidR="000D22F1" w:rsidRPr="00FC6294">
          <w:rPr>
            <w:rStyle w:val="Hipervnculo"/>
            <w:rFonts w:asciiTheme="minorHAnsi" w:hAnsiTheme="minorHAnsi"/>
            <w:iCs/>
            <w:color w:val="0070C0"/>
            <w:sz w:val="20"/>
            <w:szCs w:val="20"/>
            <w:lang w:val="en-US"/>
          </w:rPr>
          <w:t>http://pubs.acs.org/doi/abs/10.1021/la303477s</w:t>
        </w:r>
      </w:hyperlink>
    </w:p>
    <w:p w:rsidR="000D22F1" w:rsidRPr="00FC6294" w:rsidRDefault="00FC6294" w:rsidP="008D26A0">
      <w:pPr>
        <w:pStyle w:val="Default"/>
        <w:spacing w:after="200" w:line="276" w:lineRule="auto"/>
        <w:ind w:left="360"/>
        <w:rPr>
          <w:rFonts w:asciiTheme="minorHAnsi" w:hAnsiTheme="minorHAnsi"/>
          <w:iCs/>
          <w:color w:val="0070C0"/>
          <w:sz w:val="20"/>
          <w:szCs w:val="20"/>
          <w:lang w:val="en-US"/>
        </w:rPr>
      </w:pPr>
      <w:r w:rsidRPr="00FC6294">
        <w:rPr>
          <w:rFonts w:asciiTheme="minorHAnsi" w:hAnsiTheme="minorHAnsi"/>
          <w:iCs/>
          <w:color w:val="0070C0"/>
          <w:sz w:val="20"/>
          <w:szCs w:val="20"/>
          <w:lang w:val="en-US"/>
        </w:rPr>
        <w:t>(</w:t>
      </w:r>
      <w:r w:rsidR="000D22F1" w:rsidRPr="00FC6294">
        <w:rPr>
          <w:rFonts w:asciiTheme="minorHAnsi" w:hAnsiTheme="minorHAnsi"/>
          <w:iCs/>
          <w:color w:val="0070C0"/>
          <w:sz w:val="20"/>
          <w:szCs w:val="20"/>
          <w:lang w:val="en-US"/>
        </w:rPr>
        <w:t>20</w:t>
      </w:r>
      <w:r w:rsidRPr="00FC6294">
        <w:rPr>
          <w:rFonts w:asciiTheme="minorHAnsi" w:hAnsiTheme="minorHAnsi"/>
          <w:iCs/>
          <w:color w:val="0070C0"/>
          <w:sz w:val="20"/>
          <w:szCs w:val="20"/>
          <w:lang w:val="en-US"/>
        </w:rPr>
        <w:t>)</w:t>
      </w:r>
      <w:r>
        <w:rPr>
          <w:rFonts w:asciiTheme="minorHAnsi" w:hAnsiTheme="minorHAnsi"/>
          <w:iCs/>
          <w:color w:val="0070C0"/>
          <w:sz w:val="20"/>
          <w:szCs w:val="20"/>
          <w:lang w:val="en-US"/>
        </w:rPr>
        <w:t xml:space="preserve"> </w:t>
      </w:r>
      <w:r w:rsidR="000D22F1" w:rsidRPr="00FC6294">
        <w:rPr>
          <w:rFonts w:asciiTheme="minorHAnsi" w:hAnsiTheme="minorHAnsi"/>
          <w:iCs/>
          <w:color w:val="0070C0"/>
          <w:sz w:val="20"/>
          <w:szCs w:val="20"/>
          <w:lang w:val="en-US"/>
        </w:rPr>
        <w:t xml:space="preserve">Rajesh </w:t>
      </w:r>
      <w:proofErr w:type="gramStart"/>
      <w:r w:rsidR="000D22F1" w:rsidRPr="00FC6294">
        <w:rPr>
          <w:rFonts w:asciiTheme="minorHAnsi" w:hAnsiTheme="minorHAnsi"/>
          <w:iCs/>
          <w:color w:val="0070C0"/>
          <w:sz w:val="20"/>
          <w:szCs w:val="20"/>
          <w:lang w:val="en-US"/>
        </w:rPr>
        <w:t>Brave ,</w:t>
      </w:r>
      <w:proofErr w:type="gramEnd"/>
      <w:r w:rsidR="000D22F1" w:rsidRPr="00FC6294">
        <w:rPr>
          <w:rFonts w:asciiTheme="minorHAnsi" w:hAnsiTheme="minorHAnsi"/>
          <w:iCs/>
          <w:color w:val="0070C0"/>
          <w:sz w:val="20"/>
          <w:szCs w:val="20"/>
          <w:lang w:val="en-US"/>
        </w:rPr>
        <w:t xml:space="preserve"> </w:t>
      </w:r>
      <w:proofErr w:type="spellStart"/>
      <w:r w:rsidR="000D22F1" w:rsidRPr="00FC6294">
        <w:rPr>
          <w:rFonts w:asciiTheme="minorHAnsi" w:hAnsiTheme="minorHAnsi"/>
          <w:iCs/>
          <w:color w:val="0070C0"/>
          <w:sz w:val="20"/>
          <w:szCs w:val="20"/>
          <w:lang w:val="en-US"/>
        </w:rPr>
        <w:t>Ramesh</w:t>
      </w:r>
      <w:proofErr w:type="spellEnd"/>
      <w:r w:rsidR="000D22F1" w:rsidRPr="00FC6294">
        <w:rPr>
          <w:rFonts w:asciiTheme="minorHAnsi" w:hAnsiTheme="minorHAnsi"/>
          <w:iCs/>
          <w:color w:val="0070C0"/>
          <w:sz w:val="20"/>
          <w:szCs w:val="20"/>
          <w:lang w:val="en-US"/>
        </w:rPr>
        <w:t xml:space="preserve"> </w:t>
      </w:r>
      <w:proofErr w:type="spellStart"/>
      <w:r w:rsidR="000D22F1" w:rsidRPr="00FC6294">
        <w:rPr>
          <w:rFonts w:asciiTheme="minorHAnsi" w:hAnsiTheme="minorHAnsi"/>
          <w:iCs/>
          <w:color w:val="0070C0"/>
          <w:sz w:val="20"/>
          <w:szCs w:val="20"/>
          <w:lang w:val="en-US"/>
        </w:rPr>
        <w:t>Chaughule</w:t>
      </w:r>
      <w:proofErr w:type="spellEnd"/>
      <w:r w:rsidR="000D22F1" w:rsidRPr="00FC6294">
        <w:rPr>
          <w:rFonts w:asciiTheme="minorHAnsi" w:hAnsiTheme="minorHAnsi"/>
          <w:iCs/>
          <w:color w:val="0070C0"/>
          <w:sz w:val="20"/>
          <w:szCs w:val="20"/>
          <w:lang w:val="en-US"/>
        </w:rPr>
        <w:t xml:space="preserve">. </w:t>
      </w:r>
      <w:proofErr w:type="gramStart"/>
      <w:r w:rsidR="000D22F1" w:rsidRPr="00FC6294">
        <w:rPr>
          <w:rFonts w:asciiTheme="minorHAnsi" w:hAnsiTheme="minorHAnsi"/>
          <w:iCs/>
          <w:color w:val="0070C0"/>
          <w:sz w:val="20"/>
          <w:szCs w:val="20"/>
          <w:lang w:val="en-US"/>
        </w:rPr>
        <w:t>Size dependent in vivo/in vitro results of homeopathic herbal extracts.</w:t>
      </w:r>
      <w:proofErr w:type="gramEnd"/>
      <w:r w:rsidR="000D22F1" w:rsidRPr="00FC6294">
        <w:rPr>
          <w:rFonts w:asciiTheme="minorHAnsi" w:hAnsiTheme="minorHAnsi"/>
          <w:iCs/>
          <w:color w:val="0070C0"/>
          <w:sz w:val="20"/>
          <w:szCs w:val="20"/>
          <w:lang w:val="en-US"/>
        </w:rPr>
        <w:t xml:space="preserve"> </w:t>
      </w:r>
      <w:r w:rsidR="000D22F1" w:rsidRPr="00FC6294">
        <w:rPr>
          <w:rStyle w:val="nfasis"/>
          <w:rFonts w:asciiTheme="minorHAnsi" w:hAnsiTheme="minorHAnsi"/>
          <w:color w:val="0070C0"/>
          <w:sz w:val="17"/>
          <w:szCs w:val="17"/>
          <w:lang w:val="en-GB"/>
        </w:rPr>
        <w:t>Journal of Nanostructure in Chemistry</w:t>
      </w:r>
      <w:r w:rsidR="000D22F1" w:rsidRPr="00FC6294">
        <w:rPr>
          <w:rFonts w:asciiTheme="minorHAnsi" w:hAnsiTheme="minorHAnsi"/>
          <w:color w:val="0070C0"/>
          <w:sz w:val="17"/>
          <w:szCs w:val="17"/>
          <w:lang w:val="en-GB"/>
        </w:rPr>
        <w:t xml:space="preserve"> 2013, </w:t>
      </w:r>
      <w:r w:rsidR="000D22F1" w:rsidRPr="00FC6294">
        <w:rPr>
          <w:rStyle w:val="Textoennegrita"/>
          <w:rFonts w:asciiTheme="minorHAnsi" w:hAnsiTheme="minorHAnsi"/>
          <w:color w:val="0070C0"/>
          <w:sz w:val="17"/>
          <w:szCs w:val="17"/>
          <w:lang w:val="en-GB"/>
        </w:rPr>
        <w:t>3</w:t>
      </w:r>
      <w:r w:rsidR="000D22F1" w:rsidRPr="00FC6294">
        <w:rPr>
          <w:rFonts w:asciiTheme="minorHAnsi" w:hAnsiTheme="minorHAnsi"/>
          <w:color w:val="0070C0"/>
          <w:sz w:val="17"/>
          <w:szCs w:val="17"/>
          <w:lang w:val="en-GB"/>
        </w:rPr>
        <w:t>:18</w:t>
      </w:r>
      <w:proofErr w:type="gramStart"/>
      <w:r w:rsidR="000D22F1" w:rsidRPr="00FC6294">
        <w:rPr>
          <w:rFonts w:asciiTheme="minorHAnsi" w:hAnsiTheme="minorHAnsi"/>
          <w:color w:val="0070C0"/>
          <w:sz w:val="17"/>
          <w:szCs w:val="17"/>
          <w:lang w:val="en-GB"/>
        </w:rPr>
        <w:t xml:space="preserve">  </w:t>
      </w:r>
      <w:proofErr w:type="gramEnd"/>
      <w:r w:rsidR="00FB5EC8" w:rsidRPr="00FC6294">
        <w:rPr>
          <w:rFonts w:asciiTheme="minorHAnsi" w:hAnsiTheme="minorHAnsi"/>
          <w:color w:val="0070C0"/>
        </w:rPr>
        <w:fldChar w:fldCharType="begin"/>
      </w:r>
      <w:r w:rsidR="000D22F1" w:rsidRPr="00FC6294">
        <w:rPr>
          <w:rFonts w:asciiTheme="minorHAnsi" w:hAnsiTheme="minorHAnsi"/>
          <w:color w:val="0070C0"/>
          <w:lang w:val="en-US"/>
        </w:rPr>
        <w:instrText>HYPERLINK "http://www.jnanochem.com/content/3/1/18"</w:instrText>
      </w:r>
      <w:r w:rsidR="00FB5EC8" w:rsidRPr="00FC6294">
        <w:rPr>
          <w:rFonts w:asciiTheme="minorHAnsi" w:hAnsiTheme="minorHAnsi"/>
          <w:color w:val="0070C0"/>
        </w:rPr>
        <w:fldChar w:fldCharType="separate"/>
      </w:r>
      <w:r w:rsidR="000D22F1" w:rsidRPr="00FC6294">
        <w:rPr>
          <w:rStyle w:val="Hipervnculo"/>
          <w:rFonts w:asciiTheme="minorHAnsi" w:hAnsiTheme="minorHAnsi"/>
          <w:iCs/>
          <w:color w:val="0070C0"/>
          <w:sz w:val="20"/>
          <w:szCs w:val="20"/>
          <w:lang w:val="en-US"/>
        </w:rPr>
        <w:t>www.jnanochem.com/content/3/1/18</w:t>
      </w:r>
      <w:r w:rsidR="00FB5EC8" w:rsidRPr="00FC6294">
        <w:rPr>
          <w:rFonts w:asciiTheme="minorHAnsi" w:hAnsiTheme="minorHAnsi"/>
          <w:color w:val="0070C0"/>
        </w:rPr>
        <w:fldChar w:fldCharType="end"/>
      </w:r>
    </w:p>
    <w:p w:rsidR="008D26A0" w:rsidRDefault="000D22F1" w:rsidP="008D26A0">
      <w:pPr>
        <w:ind w:left="360"/>
        <w:jc w:val="both"/>
        <w:rPr>
          <w:color w:val="0070C0"/>
          <w:sz w:val="20"/>
          <w:szCs w:val="20"/>
          <w:lang w:val="en-US"/>
        </w:rPr>
      </w:pPr>
      <w:r w:rsidRPr="008D26A0">
        <w:rPr>
          <w:color w:val="0070C0"/>
          <w:sz w:val="20"/>
          <w:szCs w:val="20"/>
          <w:lang w:val="en-US"/>
        </w:rPr>
        <w:t>(21)</w:t>
      </w:r>
      <w:r w:rsidR="0029299D" w:rsidRPr="008D26A0">
        <w:rPr>
          <w:color w:val="0070C0"/>
          <w:sz w:val="20"/>
          <w:szCs w:val="20"/>
          <w:lang w:val="en-US"/>
        </w:rPr>
        <w:t xml:space="preserve">Do homeopathic medicines provoke adverse effects? A systematic </w:t>
      </w:r>
      <w:proofErr w:type="gramStart"/>
      <w:r w:rsidR="0029299D" w:rsidRPr="008D26A0">
        <w:rPr>
          <w:color w:val="0070C0"/>
          <w:sz w:val="20"/>
          <w:szCs w:val="20"/>
          <w:lang w:val="en-US"/>
        </w:rPr>
        <w:t>review .</w:t>
      </w:r>
      <w:proofErr w:type="gramEnd"/>
      <w:r w:rsidR="0029299D" w:rsidRPr="008D26A0">
        <w:rPr>
          <w:color w:val="0070C0"/>
          <w:sz w:val="20"/>
          <w:szCs w:val="20"/>
          <w:lang w:val="en-US"/>
        </w:rPr>
        <w:t xml:space="preserve"> </w:t>
      </w:r>
      <w:proofErr w:type="spellStart"/>
      <w:r w:rsidR="0029299D" w:rsidRPr="008D26A0">
        <w:rPr>
          <w:color w:val="0070C0"/>
          <w:sz w:val="20"/>
          <w:szCs w:val="20"/>
          <w:lang w:val="en-US"/>
        </w:rPr>
        <w:t>Dantas</w:t>
      </w:r>
      <w:proofErr w:type="spellEnd"/>
      <w:r w:rsidR="0029299D" w:rsidRPr="008D26A0">
        <w:rPr>
          <w:color w:val="0070C0"/>
          <w:sz w:val="20"/>
          <w:szCs w:val="20"/>
          <w:lang w:val="en-US"/>
        </w:rPr>
        <w:t>, F.Br Homeopa</w:t>
      </w:r>
      <w:r w:rsidR="00414B64" w:rsidRPr="008D26A0">
        <w:rPr>
          <w:color w:val="0070C0"/>
          <w:sz w:val="20"/>
          <w:szCs w:val="20"/>
          <w:lang w:val="en-US"/>
        </w:rPr>
        <w:t>th J. 2000 Jul</w:t>
      </w:r>
      <w:proofErr w:type="gramStart"/>
      <w:r w:rsidR="00414B64" w:rsidRPr="008D26A0">
        <w:rPr>
          <w:color w:val="0070C0"/>
          <w:sz w:val="20"/>
          <w:szCs w:val="20"/>
          <w:lang w:val="en-US"/>
        </w:rPr>
        <w:t>;89</w:t>
      </w:r>
      <w:proofErr w:type="gramEnd"/>
      <w:r w:rsidR="00414B64" w:rsidRPr="008D26A0">
        <w:rPr>
          <w:color w:val="0070C0"/>
          <w:sz w:val="20"/>
          <w:szCs w:val="20"/>
          <w:lang w:val="en-US"/>
        </w:rPr>
        <w:t xml:space="preserve"> </w:t>
      </w:r>
      <w:proofErr w:type="spellStart"/>
      <w:r w:rsidR="00414B64" w:rsidRPr="008D26A0">
        <w:rPr>
          <w:color w:val="0070C0"/>
          <w:sz w:val="20"/>
          <w:szCs w:val="20"/>
          <w:lang w:val="en-US"/>
        </w:rPr>
        <w:t>Suppl</w:t>
      </w:r>
      <w:proofErr w:type="spellEnd"/>
      <w:r w:rsidR="00414B64" w:rsidRPr="008D26A0">
        <w:rPr>
          <w:color w:val="0070C0"/>
          <w:sz w:val="20"/>
          <w:szCs w:val="20"/>
          <w:lang w:val="en-US"/>
        </w:rPr>
        <w:t xml:space="preserve"> 1:S35-8</w:t>
      </w:r>
    </w:p>
    <w:p w:rsidR="00414B64" w:rsidRPr="00340F68" w:rsidRDefault="000D22F1" w:rsidP="008D26A0">
      <w:pPr>
        <w:ind w:left="360"/>
        <w:jc w:val="both"/>
        <w:rPr>
          <w:color w:val="0070C0"/>
          <w:sz w:val="20"/>
          <w:szCs w:val="20"/>
        </w:rPr>
      </w:pPr>
      <w:r>
        <w:rPr>
          <w:color w:val="0070C0"/>
          <w:sz w:val="20"/>
          <w:szCs w:val="20"/>
        </w:rPr>
        <w:t xml:space="preserve">(22) </w:t>
      </w:r>
      <w:r w:rsidR="00414B64" w:rsidRPr="00340F68">
        <w:rPr>
          <w:color w:val="0070C0"/>
          <w:sz w:val="20"/>
          <w:szCs w:val="20"/>
        </w:rPr>
        <w:t xml:space="preserve">Iatrogenia: análisis, control y prevención. Documento del grupo de trabajo SESPAS-‐OMC sobre iatrogenia https://www.cgcom.es/sites/default/files/u183/iatrogenia_documento_omc_sespas.pdf </w:t>
      </w:r>
    </w:p>
    <w:p w:rsidR="00414B64" w:rsidRPr="008D26A0" w:rsidRDefault="00FC6294" w:rsidP="00216DA9">
      <w:pPr>
        <w:pStyle w:val="Default"/>
        <w:spacing w:after="200" w:line="276" w:lineRule="auto"/>
        <w:ind w:left="360"/>
        <w:rPr>
          <w:color w:val="0070C0"/>
          <w:sz w:val="20"/>
          <w:szCs w:val="20"/>
          <w:lang w:val="en-US"/>
        </w:rPr>
      </w:pPr>
      <w:r>
        <w:rPr>
          <w:color w:val="0070C0"/>
          <w:sz w:val="20"/>
          <w:szCs w:val="20"/>
          <w:lang w:val="en-US"/>
        </w:rPr>
        <w:t xml:space="preserve">(23) </w:t>
      </w:r>
      <w:r w:rsidR="00414B64" w:rsidRPr="00340F68">
        <w:rPr>
          <w:color w:val="0070C0"/>
          <w:sz w:val="20"/>
          <w:szCs w:val="20"/>
          <w:lang w:val="en-US"/>
        </w:rPr>
        <w:t xml:space="preserve">Costs of unsafe care and cost effectiveness of patient safety </w:t>
      </w:r>
      <w:proofErr w:type="spellStart"/>
      <w:r w:rsidR="00414B64" w:rsidRPr="00340F68">
        <w:rPr>
          <w:color w:val="0070C0"/>
          <w:sz w:val="20"/>
          <w:szCs w:val="20"/>
          <w:lang w:val="en-US"/>
        </w:rPr>
        <w:t>programmes</w:t>
      </w:r>
      <w:proofErr w:type="spellEnd"/>
      <w:r w:rsidR="00414B64" w:rsidRPr="00340F68">
        <w:rPr>
          <w:color w:val="0070C0"/>
          <w:sz w:val="20"/>
          <w:szCs w:val="20"/>
          <w:lang w:val="en-US"/>
        </w:rPr>
        <w:t xml:space="preserve"> </w:t>
      </w:r>
      <w:hyperlink r:id="rId16" w:history="1">
        <w:r w:rsidR="008D26A0" w:rsidRPr="008D26A0">
          <w:rPr>
            <w:rStyle w:val="Hipervnculo"/>
            <w:sz w:val="20"/>
            <w:szCs w:val="20"/>
            <w:lang w:val="en-US"/>
          </w:rPr>
          <w:t>https://ec.europa.eu/health/sites/health/files/systems_performance_assessment/docs/2016_costs_psp_en.pdf</w:t>
        </w:r>
      </w:hyperlink>
    </w:p>
    <w:p w:rsidR="00414B64" w:rsidRPr="00340F68" w:rsidRDefault="00FC6294" w:rsidP="008D26A0">
      <w:pPr>
        <w:pStyle w:val="Default"/>
        <w:spacing w:after="200" w:line="276" w:lineRule="auto"/>
        <w:ind w:left="360"/>
        <w:jc w:val="both"/>
        <w:rPr>
          <w:color w:val="0070C0"/>
          <w:sz w:val="20"/>
          <w:szCs w:val="20"/>
        </w:rPr>
      </w:pPr>
      <w:r>
        <w:rPr>
          <w:color w:val="0070C0"/>
          <w:sz w:val="20"/>
          <w:szCs w:val="20"/>
        </w:rPr>
        <w:t>(24)</w:t>
      </w:r>
      <w:proofErr w:type="spellStart"/>
      <w:r w:rsidR="00414B64" w:rsidRPr="00340F68">
        <w:rPr>
          <w:color w:val="0070C0"/>
          <w:sz w:val="20"/>
          <w:szCs w:val="20"/>
        </w:rPr>
        <w:t>Farmacovigilancia</w:t>
      </w:r>
      <w:proofErr w:type="spellEnd"/>
      <w:r w:rsidR="00414B64" w:rsidRPr="00340F68">
        <w:rPr>
          <w:color w:val="0070C0"/>
          <w:sz w:val="20"/>
          <w:szCs w:val="20"/>
        </w:rPr>
        <w:t xml:space="preserve"> en Europa: ¿protege realmente a los pacientes? abril - junio 2017 </w:t>
      </w:r>
      <w:proofErr w:type="spellStart"/>
      <w:r w:rsidR="00414B64" w:rsidRPr="00340F68">
        <w:rPr>
          <w:color w:val="0070C0"/>
          <w:sz w:val="20"/>
          <w:szCs w:val="20"/>
        </w:rPr>
        <w:t>Bulletí</w:t>
      </w:r>
      <w:proofErr w:type="spellEnd"/>
      <w:r w:rsidR="00414B64" w:rsidRPr="00340F68">
        <w:rPr>
          <w:color w:val="0070C0"/>
          <w:sz w:val="20"/>
          <w:szCs w:val="20"/>
        </w:rPr>
        <w:t xml:space="preserve"> </w:t>
      </w:r>
      <w:proofErr w:type="spellStart"/>
      <w:r w:rsidR="00414B64" w:rsidRPr="00340F68">
        <w:rPr>
          <w:color w:val="0070C0"/>
          <w:sz w:val="20"/>
          <w:szCs w:val="20"/>
        </w:rPr>
        <w:t>Groc</w:t>
      </w:r>
      <w:proofErr w:type="spellEnd"/>
      <w:r w:rsidR="00414B64" w:rsidRPr="00340F68">
        <w:rPr>
          <w:color w:val="0070C0"/>
          <w:sz w:val="20"/>
          <w:szCs w:val="20"/>
        </w:rPr>
        <w:t>, Vol. 30 nº2</w:t>
      </w:r>
    </w:p>
    <w:p w:rsidR="00414B64" w:rsidRPr="00340F68" w:rsidRDefault="00FC6294" w:rsidP="008D26A0">
      <w:pPr>
        <w:pStyle w:val="Default"/>
        <w:spacing w:after="200" w:line="276" w:lineRule="auto"/>
        <w:ind w:left="360"/>
        <w:rPr>
          <w:color w:val="0070C0"/>
          <w:sz w:val="20"/>
          <w:szCs w:val="20"/>
        </w:rPr>
      </w:pPr>
      <w:r>
        <w:rPr>
          <w:color w:val="0070C0"/>
          <w:sz w:val="20"/>
          <w:szCs w:val="20"/>
        </w:rPr>
        <w:t>(25)</w:t>
      </w:r>
      <w:r w:rsidR="00414B64" w:rsidRPr="00340F68">
        <w:rPr>
          <w:color w:val="0070C0"/>
          <w:sz w:val="20"/>
          <w:szCs w:val="20"/>
        </w:rPr>
        <w:t xml:space="preserve">DISPENSACIÓN, ADHERENCIA Y USO ADECUADO DEL TRATAMIENTO </w:t>
      </w:r>
      <w:hyperlink r:id="rId17" w:history="1">
        <w:r w:rsidR="00414B64" w:rsidRPr="00340F68">
          <w:rPr>
            <w:rStyle w:val="Hipervnculo"/>
            <w:color w:val="0070C0"/>
            <w:sz w:val="20"/>
            <w:szCs w:val="20"/>
          </w:rPr>
          <w:t>https://www.sefac.org/sites/default/files/2017-11/Adherencia_0.pdf</w:t>
        </w:r>
      </w:hyperlink>
    </w:p>
    <w:p w:rsidR="00414B64" w:rsidRPr="00340F68" w:rsidRDefault="00FC6294" w:rsidP="008D26A0">
      <w:pPr>
        <w:pStyle w:val="Default"/>
        <w:spacing w:after="200" w:line="276" w:lineRule="auto"/>
        <w:ind w:left="360"/>
        <w:rPr>
          <w:color w:val="0070C0"/>
          <w:sz w:val="20"/>
          <w:szCs w:val="20"/>
        </w:rPr>
      </w:pPr>
      <w:r>
        <w:rPr>
          <w:color w:val="0070C0"/>
          <w:sz w:val="20"/>
          <w:szCs w:val="20"/>
        </w:rPr>
        <w:t>(26)</w:t>
      </w:r>
      <w:r w:rsidR="00414B64" w:rsidRPr="00340F68">
        <w:rPr>
          <w:color w:val="0070C0"/>
          <w:sz w:val="20"/>
          <w:szCs w:val="20"/>
        </w:rPr>
        <w:t xml:space="preserve">Encuesta de Percepción Social de la Ciencia </w:t>
      </w:r>
      <w:proofErr w:type="spellStart"/>
      <w:r w:rsidR="00414B64" w:rsidRPr="00340F68">
        <w:rPr>
          <w:color w:val="0070C0"/>
          <w:sz w:val="20"/>
          <w:szCs w:val="20"/>
        </w:rPr>
        <w:t>Fecyt</w:t>
      </w:r>
      <w:proofErr w:type="spellEnd"/>
      <w:r w:rsidR="00414B64" w:rsidRPr="00340F68">
        <w:rPr>
          <w:color w:val="0070C0"/>
          <w:sz w:val="20"/>
          <w:szCs w:val="20"/>
        </w:rPr>
        <w:t xml:space="preserve"> 2016 https://icono.fecyt.es/sites/default/files/filepublicaciones/18/07_informe_epscyt_2016._articulo_j._rogero_y_j._lobera.pdf</w:t>
      </w:r>
    </w:p>
    <w:p w:rsidR="00325E19" w:rsidRPr="00340F68" w:rsidRDefault="00FC6294" w:rsidP="00216DA9">
      <w:pPr>
        <w:pStyle w:val="Default"/>
        <w:spacing w:after="200" w:line="276" w:lineRule="auto"/>
        <w:ind w:left="360"/>
        <w:rPr>
          <w:color w:val="0070C0"/>
          <w:sz w:val="20"/>
          <w:szCs w:val="20"/>
        </w:rPr>
      </w:pPr>
      <w:r>
        <w:rPr>
          <w:color w:val="0070C0"/>
          <w:sz w:val="20"/>
          <w:szCs w:val="20"/>
        </w:rPr>
        <w:t>(27)</w:t>
      </w:r>
      <w:r w:rsidR="00325E19" w:rsidRPr="00340F68">
        <w:rPr>
          <w:color w:val="0070C0"/>
          <w:sz w:val="20"/>
          <w:szCs w:val="20"/>
        </w:rPr>
        <w:t xml:space="preserve">Encuesta de Percepción Social de la Ciencia del 2018 (FECYT) https://icono.fecyt.es/sites/default/files/filepublicaciones/18/epscyt2018_informe_0.pdf </w:t>
      </w:r>
    </w:p>
    <w:p w:rsidR="00325E19" w:rsidRPr="00340F68" w:rsidRDefault="00FC6294" w:rsidP="008D26A0">
      <w:pPr>
        <w:pStyle w:val="Default"/>
        <w:spacing w:after="200" w:line="276" w:lineRule="auto"/>
        <w:ind w:left="360"/>
        <w:rPr>
          <w:color w:val="0070C0"/>
          <w:sz w:val="20"/>
          <w:szCs w:val="20"/>
        </w:rPr>
      </w:pPr>
      <w:r>
        <w:rPr>
          <w:color w:val="0070C0"/>
          <w:sz w:val="20"/>
          <w:szCs w:val="20"/>
        </w:rPr>
        <w:t xml:space="preserve">(28) </w:t>
      </w:r>
      <w:r w:rsidR="00325E19" w:rsidRPr="00340F68">
        <w:rPr>
          <w:color w:val="0070C0"/>
          <w:sz w:val="20"/>
          <w:szCs w:val="20"/>
        </w:rPr>
        <w:t xml:space="preserve">Barómetro del CIS de Febrero de 2018.http://www.cis.es/cis/export/sites/default/-Archivos/Marginales/3200_3219/3205/es3205mar.pdf </w:t>
      </w:r>
    </w:p>
    <w:p w:rsidR="00325E19" w:rsidRPr="008D26A0" w:rsidRDefault="00FC6294" w:rsidP="008D26A0">
      <w:pPr>
        <w:ind w:left="360"/>
        <w:rPr>
          <w:color w:val="0070C0"/>
          <w:sz w:val="20"/>
          <w:szCs w:val="20"/>
        </w:rPr>
      </w:pPr>
      <w:r w:rsidRPr="008D26A0">
        <w:rPr>
          <w:color w:val="0070C0"/>
          <w:sz w:val="20"/>
          <w:szCs w:val="20"/>
        </w:rPr>
        <w:lastRenderedPageBreak/>
        <w:t>(29)</w:t>
      </w:r>
      <w:r w:rsidR="00325E19" w:rsidRPr="008D26A0">
        <w:rPr>
          <w:color w:val="0070C0"/>
          <w:sz w:val="20"/>
          <w:szCs w:val="20"/>
        </w:rPr>
        <w:t xml:space="preserve">Responsabilidad por pérdida de oportunidad asistencial en la medicina pública española. </w:t>
      </w:r>
      <w:proofErr w:type="spellStart"/>
      <w:r w:rsidR="00325E19" w:rsidRPr="008D26A0">
        <w:rPr>
          <w:color w:val="0070C0"/>
          <w:sz w:val="20"/>
          <w:szCs w:val="20"/>
        </w:rPr>
        <w:t>Rev</w:t>
      </w:r>
      <w:proofErr w:type="spellEnd"/>
      <w:r w:rsidR="00325E19" w:rsidRPr="008D26A0">
        <w:rPr>
          <w:color w:val="0070C0"/>
          <w:sz w:val="20"/>
          <w:szCs w:val="20"/>
        </w:rPr>
        <w:t xml:space="preserve"> </w:t>
      </w:r>
      <w:proofErr w:type="spellStart"/>
      <w:r w:rsidR="00325E19" w:rsidRPr="008D26A0">
        <w:rPr>
          <w:color w:val="0070C0"/>
          <w:sz w:val="20"/>
          <w:szCs w:val="20"/>
        </w:rPr>
        <w:t>ESp</w:t>
      </w:r>
      <w:proofErr w:type="spellEnd"/>
      <w:r w:rsidR="00325E19" w:rsidRPr="008D26A0">
        <w:rPr>
          <w:color w:val="0070C0"/>
          <w:sz w:val="20"/>
          <w:szCs w:val="20"/>
        </w:rPr>
        <w:t xml:space="preserve"> </w:t>
      </w:r>
      <w:proofErr w:type="spellStart"/>
      <w:r w:rsidR="00325E19" w:rsidRPr="008D26A0">
        <w:rPr>
          <w:color w:val="0070C0"/>
          <w:sz w:val="20"/>
          <w:szCs w:val="20"/>
        </w:rPr>
        <w:t>Med</w:t>
      </w:r>
      <w:proofErr w:type="spellEnd"/>
      <w:r w:rsidR="00325E19" w:rsidRPr="008D26A0">
        <w:rPr>
          <w:color w:val="0070C0"/>
          <w:sz w:val="20"/>
          <w:szCs w:val="20"/>
        </w:rPr>
        <w:t xml:space="preserve"> Legal 2016</w:t>
      </w:r>
    </w:p>
    <w:p w:rsidR="00CA3025" w:rsidRPr="00C56272" w:rsidRDefault="00FC6294" w:rsidP="00216DA9">
      <w:pPr>
        <w:ind w:left="360"/>
        <w:rPr>
          <w:color w:val="0070C0"/>
        </w:rPr>
      </w:pPr>
      <w:r w:rsidRPr="008D26A0">
        <w:rPr>
          <w:color w:val="0070C0"/>
          <w:sz w:val="20"/>
          <w:szCs w:val="20"/>
        </w:rPr>
        <w:t>(30)</w:t>
      </w:r>
      <w:r w:rsidR="00325E19" w:rsidRPr="008D26A0">
        <w:rPr>
          <w:color w:val="0070C0"/>
          <w:sz w:val="20"/>
          <w:szCs w:val="20"/>
        </w:rPr>
        <w:t xml:space="preserve">Encuesta Europea de Salud en España 2014 https://www.mscbs.gob.es/estadEstudios/estadisticas/EncuestaEuropea/pdf/EESE14_inf.pdf </w:t>
      </w:r>
    </w:p>
    <w:sectPr w:rsidR="00CA3025" w:rsidRPr="00C56272" w:rsidSect="00492C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vPSA35F">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Bold">
    <w:altName w:val="Arial"/>
    <w:charset w:val="00"/>
    <w:family w:val="swiss"/>
    <w:pitch w:val="default"/>
    <w:sig w:usb0="00000000" w:usb1="00000000" w:usb2="00000000" w:usb3="00000000" w:csb0="00000000" w:csb1="00000000"/>
  </w:font>
  <w:font w:name="Calibri-Bold">
    <w:charset w:val="00"/>
    <w:family w:val="auto"/>
    <w:pitch w:val="default"/>
    <w:sig w:usb0="00000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573"/>
    <w:multiLevelType w:val="hybridMultilevel"/>
    <w:tmpl w:val="6778C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809C5"/>
    <w:multiLevelType w:val="hybridMultilevel"/>
    <w:tmpl w:val="201C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196840"/>
    <w:multiLevelType w:val="hybridMultilevel"/>
    <w:tmpl w:val="5BF655EA"/>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005EF0"/>
    <w:multiLevelType w:val="hybridMultilevel"/>
    <w:tmpl w:val="B164F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D7651A"/>
    <w:multiLevelType w:val="hybridMultilevel"/>
    <w:tmpl w:val="ABBA8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3B5716"/>
    <w:multiLevelType w:val="hybridMultilevel"/>
    <w:tmpl w:val="B582DFF8"/>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295EA6"/>
    <w:multiLevelType w:val="hybridMultilevel"/>
    <w:tmpl w:val="863E65F6"/>
    <w:lvl w:ilvl="0" w:tplc="EA0434C6">
      <w:start w:val="1"/>
      <w:numFmt w:val="bullet"/>
      <w:lvlText w:val=""/>
      <w:lvlJc w:val="left"/>
      <w:pPr>
        <w:tabs>
          <w:tab w:val="num" w:pos="644"/>
        </w:tabs>
        <w:ind w:left="644" w:hanging="360"/>
      </w:pPr>
      <w:rPr>
        <w:rFonts w:ascii="Wingdings" w:hAnsi="Wingdings" w:hint="default"/>
      </w:rPr>
    </w:lvl>
    <w:lvl w:ilvl="1" w:tplc="F5C427F8" w:tentative="1">
      <w:start w:val="1"/>
      <w:numFmt w:val="bullet"/>
      <w:lvlText w:val=""/>
      <w:lvlJc w:val="left"/>
      <w:pPr>
        <w:tabs>
          <w:tab w:val="num" w:pos="1440"/>
        </w:tabs>
        <w:ind w:left="1440" w:hanging="360"/>
      </w:pPr>
      <w:rPr>
        <w:rFonts w:ascii="Wingdings" w:hAnsi="Wingdings" w:hint="default"/>
      </w:rPr>
    </w:lvl>
    <w:lvl w:ilvl="2" w:tplc="B1E8A248" w:tentative="1">
      <w:start w:val="1"/>
      <w:numFmt w:val="bullet"/>
      <w:lvlText w:val=""/>
      <w:lvlJc w:val="left"/>
      <w:pPr>
        <w:tabs>
          <w:tab w:val="num" w:pos="2160"/>
        </w:tabs>
        <w:ind w:left="2160" w:hanging="360"/>
      </w:pPr>
      <w:rPr>
        <w:rFonts w:ascii="Wingdings" w:hAnsi="Wingdings" w:hint="default"/>
      </w:rPr>
    </w:lvl>
    <w:lvl w:ilvl="3" w:tplc="14A8CB14" w:tentative="1">
      <w:start w:val="1"/>
      <w:numFmt w:val="bullet"/>
      <w:lvlText w:val=""/>
      <w:lvlJc w:val="left"/>
      <w:pPr>
        <w:tabs>
          <w:tab w:val="num" w:pos="2880"/>
        </w:tabs>
        <w:ind w:left="2880" w:hanging="360"/>
      </w:pPr>
      <w:rPr>
        <w:rFonts w:ascii="Wingdings" w:hAnsi="Wingdings" w:hint="default"/>
      </w:rPr>
    </w:lvl>
    <w:lvl w:ilvl="4" w:tplc="536E2938" w:tentative="1">
      <w:start w:val="1"/>
      <w:numFmt w:val="bullet"/>
      <w:lvlText w:val=""/>
      <w:lvlJc w:val="left"/>
      <w:pPr>
        <w:tabs>
          <w:tab w:val="num" w:pos="3600"/>
        </w:tabs>
        <w:ind w:left="3600" w:hanging="360"/>
      </w:pPr>
      <w:rPr>
        <w:rFonts w:ascii="Wingdings" w:hAnsi="Wingdings" w:hint="default"/>
      </w:rPr>
    </w:lvl>
    <w:lvl w:ilvl="5" w:tplc="C4626482" w:tentative="1">
      <w:start w:val="1"/>
      <w:numFmt w:val="bullet"/>
      <w:lvlText w:val=""/>
      <w:lvlJc w:val="left"/>
      <w:pPr>
        <w:tabs>
          <w:tab w:val="num" w:pos="4320"/>
        </w:tabs>
        <w:ind w:left="4320" w:hanging="360"/>
      </w:pPr>
      <w:rPr>
        <w:rFonts w:ascii="Wingdings" w:hAnsi="Wingdings" w:hint="default"/>
      </w:rPr>
    </w:lvl>
    <w:lvl w:ilvl="6" w:tplc="2B7CA1B6" w:tentative="1">
      <w:start w:val="1"/>
      <w:numFmt w:val="bullet"/>
      <w:lvlText w:val=""/>
      <w:lvlJc w:val="left"/>
      <w:pPr>
        <w:tabs>
          <w:tab w:val="num" w:pos="5040"/>
        </w:tabs>
        <w:ind w:left="5040" w:hanging="360"/>
      </w:pPr>
      <w:rPr>
        <w:rFonts w:ascii="Wingdings" w:hAnsi="Wingdings" w:hint="default"/>
      </w:rPr>
    </w:lvl>
    <w:lvl w:ilvl="7" w:tplc="4DBED2E8" w:tentative="1">
      <w:start w:val="1"/>
      <w:numFmt w:val="bullet"/>
      <w:lvlText w:val=""/>
      <w:lvlJc w:val="left"/>
      <w:pPr>
        <w:tabs>
          <w:tab w:val="num" w:pos="5760"/>
        </w:tabs>
        <w:ind w:left="5760" w:hanging="360"/>
      </w:pPr>
      <w:rPr>
        <w:rFonts w:ascii="Wingdings" w:hAnsi="Wingdings" w:hint="default"/>
      </w:rPr>
    </w:lvl>
    <w:lvl w:ilvl="8" w:tplc="AC7CC18E" w:tentative="1">
      <w:start w:val="1"/>
      <w:numFmt w:val="bullet"/>
      <w:lvlText w:val=""/>
      <w:lvlJc w:val="left"/>
      <w:pPr>
        <w:tabs>
          <w:tab w:val="num" w:pos="6480"/>
        </w:tabs>
        <w:ind w:left="6480" w:hanging="360"/>
      </w:pPr>
      <w:rPr>
        <w:rFonts w:ascii="Wingdings" w:hAnsi="Wingdings" w:hint="default"/>
      </w:rPr>
    </w:lvl>
  </w:abstractNum>
  <w:abstractNum w:abstractNumId="7">
    <w:nsid w:val="1E71141C"/>
    <w:multiLevelType w:val="hybridMultilevel"/>
    <w:tmpl w:val="455A0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AF2A30"/>
    <w:multiLevelType w:val="hybridMultilevel"/>
    <w:tmpl w:val="6FA45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30017F"/>
    <w:multiLevelType w:val="hybridMultilevel"/>
    <w:tmpl w:val="3A401848"/>
    <w:lvl w:ilvl="0" w:tplc="EA20535E">
      <w:start w:val="1"/>
      <w:numFmt w:val="decimal"/>
      <w:lvlText w:val="(%1)"/>
      <w:lvlJc w:val="left"/>
      <w:pPr>
        <w:ind w:left="644" w:hanging="360"/>
      </w:pPr>
      <w:rPr>
        <w:rFonts w:hint="default"/>
        <w:lang w:val="es-E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C597479"/>
    <w:multiLevelType w:val="hybridMultilevel"/>
    <w:tmpl w:val="B9E8AED6"/>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256CC4"/>
    <w:multiLevelType w:val="hybridMultilevel"/>
    <w:tmpl w:val="A6C2D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CA1AD8"/>
    <w:multiLevelType w:val="hybridMultilevel"/>
    <w:tmpl w:val="1AEE768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8C02F72"/>
    <w:multiLevelType w:val="hybridMultilevel"/>
    <w:tmpl w:val="C7349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D3665D"/>
    <w:multiLevelType w:val="hybridMultilevel"/>
    <w:tmpl w:val="813A3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9F559D"/>
    <w:multiLevelType w:val="hybridMultilevel"/>
    <w:tmpl w:val="40FED6A4"/>
    <w:lvl w:ilvl="0" w:tplc="EA847DC0">
      <w:start w:val="1"/>
      <w:numFmt w:val="bullet"/>
      <w:lvlText w:val=""/>
      <w:lvlJc w:val="left"/>
      <w:pPr>
        <w:tabs>
          <w:tab w:val="num" w:pos="644"/>
        </w:tabs>
        <w:ind w:left="644" w:hanging="360"/>
      </w:pPr>
      <w:rPr>
        <w:rFonts w:ascii="Wingdings" w:hAnsi="Wingdings" w:hint="default"/>
      </w:rPr>
    </w:lvl>
    <w:lvl w:ilvl="1" w:tplc="D5860EBC" w:tentative="1">
      <w:start w:val="1"/>
      <w:numFmt w:val="bullet"/>
      <w:lvlText w:val=""/>
      <w:lvlJc w:val="left"/>
      <w:pPr>
        <w:tabs>
          <w:tab w:val="num" w:pos="1440"/>
        </w:tabs>
        <w:ind w:left="1440" w:hanging="360"/>
      </w:pPr>
      <w:rPr>
        <w:rFonts w:ascii="Wingdings" w:hAnsi="Wingdings" w:hint="default"/>
      </w:rPr>
    </w:lvl>
    <w:lvl w:ilvl="2" w:tplc="91E47DC0" w:tentative="1">
      <w:start w:val="1"/>
      <w:numFmt w:val="bullet"/>
      <w:lvlText w:val=""/>
      <w:lvlJc w:val="left"/>
      <w:pPr>
        <w:tabs>
          <w:tab w:val="num" w:pos="2160"/>
        </w:tabs>
        <w:ind w:left="2160" w:hanging="360"/>
      </w:pPr>
      <w:rPr>
        <w:rFonts w:ascii="Wingdings" w:hAnsi="Wingdings" w:hint="default"/>
      </w:rPr>
    </w:lvl>
    <w:lvl w:ilvl="3" w:tplc="BEF6693C" w:tentative="1">
      <w:start w:val="1"/>
      <w:numFmt w:val="bullet"/>
      <w:lvlText w:val=""/>
      <w:lvlJc w:val="left"/>
      <w:pPr>
        <w:tabs>
          <w:tab w:val="num" w:pos="2880"/>
        </w:tabs>
        <w:ind w:left="2880" w:hanging="360"/>
      </w:pPr>
      <w:rPr>
        <w:rFonts w:ascii="Wingdings" w:hAnsi="Wingdings" w:hint="default"/>
      </w:rPr>
    </w:lvl>
    <w:lvl w:ilvl="4" w:tplc="A0E4CA46" w:tentative="1">
      <w:start w:val="1"/>
      <w:numFmt w:val="bullet"/>
      <w:lvlText w:val=""/>
      <w:lvlJc w:val="left"/>
      <w:pPr>
        <w:tabs>
          <w:tab w:val="num" w:pos="3600"/>
        </w:tabs>
        <w:ind w:left="3600" w:hanging="360"/>
      </w:pPr>
      <w:rPr>
        <w:rFonts w:ascii="Wingdings" w:hAnsi="Wingdings" w:hint="default"/>
      </w:rPr>
    </w:lvl>
    <w:lvl w:ilvl="5" w:tplc="822AED38" w:tentative="1">
      <w:start w:val="1"/>
      <w:numFmt w:val="bullet"/>
      <w:lvlText w:val=""/>
      <w:lvlJc w:val="left"/>
      <w:pPr>
        <w:tabs>
          <w:tab w:val="num" w:pos="4320"/>
        </w:tabs>
        <w:ind w:left="4320" w:hanging="360"/>
      </w:pPr>
      <w:rPr>
        <w:rFonts w:ascii="Wingdings" w:hAnsi="Wingdings" w:hint="default"/>
      </w:rPr>
    </w:lvl>
    <w:lvl w:ilvl="6" w:tplc="3BB6412A" w:tentative="1">
      <w:start w:val="1"/>
      <w:numFmt w:val="bullet"/>
      <w:lvlText w:val=""/>
      <w:lvlJc w:val="left"/>
      <w:pPr>
        <w:tabs>
          <w:tab w:val="num" w:pos="5040"/>
        </w:tabs>
        <w:ind w:left="5040" w:hanging="360"/>
      </w:pPr>
      <w:rPr>
        <w:rFonts w:ascii="Wingdings" w:hAnsi="Wingdings" w:hint="default"/>
      </w:rPr>
    </w:lvl>
    <w:lvl w:ilvl="7" w:tplc="610ED424" w:tentative="1">
      <w:start w:val="1"/>
      <w:numFmt w:val="bullet"/>
      <w:lvlText w:val=""/>
      <w:lvlJc w:val="left"/>
      <w:pPr>
        <w:tabs>
          <w:tab w:val="num" w:pos="5760"/>
        </w:tabs>
        <w:ind w:left="5760" w:hanging="360"/>
      </w:pPr>
      <w:rPr>
        <w:rFonts w:ascii="Wingdings" w:hAnsi="Wingdings" w:hint="default"/>
      </w:rPr>
    </w:lvl>
    <w:lvl w:ilvl="8" w:tplc="02B2ACAA" w:tentative="1">
      <w:start w:val="1"/>
      <w:numFmt w:val="bullet"/>
      <w:lvlText w:val=""/>
      <w:lvlJc w:val="left"/>
      <w:pPr>
        <w:tabs>
          <w:tab w:val="num" w:pos="6480"/>
        </w:tabs>
        <w:ind w:left="6480" w:hanging="360"/>
      </w:pPr>
      <w:rPr>
        <w:rFonts w:ascii="Wingdings" w:hAnsi="Wingdings" w:hint="default"/>
      </w:rPr>
    </w:lvl>
  </w:abstractNum>
  <w:abstractNum w:abstractNumId="16">
    <w:nsid w:val="60EC15DA"/>
    <w:multiLevelType w:val="hybridMultilevel"/>
    <w:tmpl w:val="696CD7C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FB5890"/>
    <w:multiLevelType w:val="hybridMultilevel"/>
    <w:tmpl w:val="5B287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93017A1"/>
    <w:multiLevelType w:val="hybridMultilevel"/>
    <w:tmpl w:val="2138CC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114928"/>
    <w:multiLevelType w:val="hybridMultilevel"/>
    <w:tmpl w:val="AC085E74"/>
    <w:lvl w:ilvl="0" w:tplc="53704A4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0C673A"/>
    <w:multiLevelType w:val="hybridMultilevel"/>
    <w:tmpl w:val="F0243E36"/>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037AFF"/>
    <w:multiLevelType w:val="hybridMultilevel"/>
    <w:tmpl w:val="89DE97FC"/>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BD6A7A"/>
    <w:multiLevelType w:val="hybridMultilevel"/>
    <w:tmpl w:val="48983C4E"/>
    <w:lvl w:ilvl="0" w:tplc="DBA6ECF0">
      <w:start w:val="1"/>
      <w:numFmt w:val="bullet"/>
      <w:lvlText w:val=""/>
      <w:lvlJc w:val="left"/>
      <w:pPr>
        <w:tabs>
          <w:tab w:val="num" w:pos="720"/>
        </w:tabs>
        <w:ind w:left="720" w:hanging="360"/>
      </w:pPr>
      <w:rPr>
        <w:rFonts w:ascii="Wingdings" w:hAnsi="Wingdings" w:hint="default"/>
      </w:rPr>
    </w:lvl>
    <w:lvl w:ilvl="1" w:tplc="66367F5A" w:tentative="1">
      <w:start w:val="1"/>
      <w:numFmt w:val="bullet"/>
      <w:lvlText w:val=""/>
      <w:lvlJc w:val="left"/>
      <w:pPr>
        <w:tabs>
          <w:tab w:val="num" w:pos="1440"/>
        </w:tabs>
        <w:ind w:left="1440" w:hanging="360"/>
      </w:pPr>
      <w:rPr>
        <w:rFonts w:ascii="Wingdings" w:hAnsi="Wingdings" w:hint="default"/>
      </w:rPr>
    </w:lvl>
    <w:lvl w:ilvl="2" w:tplc="2DBE4ADA" w:tentative="1">
      <w:start w:val="1"/>
      <w:numFmt w:val="bullet"/>
      <w:lvlText w:val=""/>
      <w:lvlJc w:val="left"/>
      <w:pPr>
        <w:tabs>
          <w:tab w:val="num" w:pos="2160"/>
        </w:tabs>
        <w:ind w:left="2160" w:hanging="360"/>
      </w:pPr>
      <w:rPr>
        <w:rFonts w:ascii="Wingdings" w:hAnsi="Wingdings" w:hint="default"/>
      </w:rPr>
    </w:lvl>
    <w:lvl w:ilvl="3" w:tplc="F990D266" w:tentative="1">
      <w:start w:val="1"/>
      <w:numFmt w:val="bullet"/>
      <w:lvlText w:val=""/>
      <w:lvlJc w:val="left"/>
      <w:pPr>
        <w:tabs>
          <w:tab w:val="num" w:pos="2880"/>
        </w:tabs>
        <w:ind w:left="2880" w:hanging="360"/>
      </w:pPr>
      <w:rPr>
        <w:rFonts w:ascii="Wingdings" w:hAnsi="Wingdings" w:hint="default"/>
      </w:rPr>
    </w:lvl>
    <w:lvl w:ilvl="4" w:tplc="35EE37D6" w:tentative="1">
      <w:start w:val="1"/>
      <w:numFmt w:val="bullet"/>
      <w:lvlText w:val=""/>
      <w:lvlJc w:val="left"/>
      <w:pPr>
        <w:tabs>
          <w:tab w:val="num" w:pos="3600"/>
        </w:tabs>
        <w:ind w:left="3600" w:hanging="360"/>
      </w:pPr>
      <w:rPr>
        <w:rFonts w:ascii="Wingdings" w:hAnsi="Wingdings" w:hint="default"/>
      </w:rPr>
    </w:lvl>
    <w:lvl w:ilvl="5" w:tplc="6F42B41E" w:tentative="1">
      <w:start w:val="1"/>
      <w:numFmt w:val="bullet"/>
      <w:lvlText w:val=""/>
      <w:lvlJc w:val="left"/>
      <w:pPr>
        <w:tabs>
          <w:tab w:val="num" w:pos="4320"/>
        </w:tabs>
        <w:ind w:left="4320" w:hanging="360"/>
      </w:pPr>
      <w:rPr>
        <w:rFonts w:ascii="Wingdings" w:hAnsi="Wingdings" w:hint="default"/>
      </w:rPr>
    </w:lvl>
    <w:lvl w:ilvl="6" w:tplc="6448B96E" w:tentative="1">
      <w:start w:val="1"/>
      <w:numFmt w:val="bullet"/>
      <w:lvlText w:val=""/>
      <w:lvlJc w:val="left"/>
      <w:pPr>
        <w:tabs>
          <w:tab w:val="num" w:pos="5040"/>
        </w:tabs>
        <w:ind w:left="5040" w:hanging="360"/>
      </w:pPr>
      <w:rPr>
        <w:rFonts w:ascii="Wingdings" w:hAnsi="Wingdings" w:hint="default"/>
      </w:rPr>
    </w:lvl>
    <w:lvl w:ilvl="7" w:tplc="6556047C" w:tentative="1">
      <w:start w:val="1"/>
      <w:numFmt w:val="bullet"/>
      <w:lvlText w:val=""/>
      <w:lvlJc w:val="left"/>
      <w:pPr>
        <w:tabs>
          <w:tab w:val="num" w:pos="5760"/>
        </w:tabs>
        <w:ind w:left="5760" w:hanging="360"/>
      </w:pPr>
      <w:rPr>
        <w:rFonts w:ascii="Wingdings" w:hAnsi="Wingdings" w:hint="default"/>
      </w:rPr>
    </w:lvl>
    <w:lvl w:ilvl="8" w:tplc="7BF4B042" w:tentative="1">
      <w:start w:val="1"/>
      <w:numFmt w:val="bullet"/>
      <w:lvlText w:val=""/>
      <w:lvlJc w:val="left"/>
      <w:pPr>
        <w:tabs>
          <w:tab w:val="num" w:pos="6480"/>
        </w:tabs>
        <w:ind w:left="6480" w:hanging="360"/>
      </w:pPr>
      <w:rPr>
        <w:rFonts w:ascii="Wingdings" w:hAnsi="Wingdings" w:hint="default"/>
      </w:rPr>
    </w:lvl>
  </w:abstractNum>
  <w:abstractNum w:abstractNumId="23">
    <w:nsid w:val="7B941DE1"/>
    <w:multiLevelType w:val="hybridMultilevel"/>
    <w:tmpl w:val="AC642DB4"/>
    <w:lvl w:ilvl="0" w:tplc="C600A6CC">
      <w:start w:val="4"/>
      <w:numFmt w:val="bullet"/>
      <w:lvlText w:val="-"/>
      <w:lvlJc w:val="left"/>
      <w:pPr>
        <w:ind w:left="720" w:hanging="360"/>
      </w:pPr>
      <w:rPr>
        <w:rFonts w:ascii="Calibri" w:eastAsiaTheme="minorHAnsi" w:hAnsi="Calibri" w:cs="TimesNewRomanPSMT"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CC0084"/>
    <w:multiLevelType w:val="hybridMultilevel"/>
    <w:tmpl w:val="83D8624A"/>
    <w:lvl w:ilvl="0" w:tplc="F6584F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0"/>
  </w:num>
  <w:num w:numId="3">
    <w:abstractNumId w:val="20"/>
  </w:num>
  <w:num w:numId="4">
    <w:abstractNumId w:val="21"/>
  </w:num>
  <w:num w:numId="5">
    <w:abstractNumId w:val="23"/>
  </w:num>
  <w:num w:numId="6">
    <w:abstractNumId w:val="5"/>
  </w:num>
  <w:num w:numId="7">
    <w:abstractNumId w:val="2"/>
  </w:num>
  <w:num w:numId="8">
    <w:abstractNumId w:val="6"/>
  </w:num>
  <w:num w:numId="9">
    <w:abstractNumId w:val="15"/>
  </w:num>
  <w:num w:numId="10">
    <w:abstractNumId w:val="19"/>
  </w:num>
  <w:num w:numId="11">
    <w:abstractNumId w:val="0"/>
  </w:num>
  <w:num w:numId="12">
    <w:abstractNumId w:val="3"/>
  </w:num>
  <w:num w:numId="13">
    <w:abstractNumId w:val="7"/>
  </w:num>
  <w:num w:numId="14">
    <w:abstractNumId w:val="4"/>
  </w:num>
  <w:num w:numId="15">
    <w:abstractNumId w:val="8"/>
  </w:num>
  <w:num w:numId="16">
    <w:abstractNumId w:val="18"/>
  </w:num>
  <w:num w:numId="17">
    <w:abstractNumId w:val="22"/>
  </w:num>
  <w:num w:numId="18">
    <w:abstractNumId w:val="14"/>
  </w:num>
  <w:num w:numId="19">
    <w:abstractNumId w:val="11"/>
  </w:num>
  <w:num w:numId="20">
    <w:abstractNumId w:val="17"/>
  </w:num>
  <w:num w:numId="21">
    <w:abstractNumId w:val="16"/>
  </w:num>
  <w:num w:numId="22">
    <w:abstractNumId w:val="13"/>
  </w:num>
  <w:num w:numId="23">
    <w:abstractNumId w:val="12"/>
  </w:num>
  <w:num w:numId="24">
    <w:abstractNumId w:val="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4185"/>
    <w:rsid w:val="00000BAF"/>
    <w:rsid w:val="000246E1"/>
    <w:rsid w:val="0005188F"/>
    <w:rsid w:val="00052084"/>
    <w:rsid w:val="000550FD"/>
    <w:rsid w:val="00062466"/>
    <w:rsid w:val="0006398C"/>
    <w:rsid w:val="000727B8"/>
    <w:rsid w:val="00087429"/>
    <w:rsid w:val="000B00C5"/>
    <w:rsid w:val="000D22F1"/>
    <w:rsid w:val="0011279D"/>
    <w:rsid w:val="0012100E"/>
    <w:rsid w:val="00127D22"/>
    <w:rsid w:val="00143BA6"/>
    <w:rsid w:val="001475A8"/>
    <w:rsid w:val="00161E6C"/>
    <w:rsid w:val="001D1287"/>
    <w:rsid w:val="001D3C47"/>
    <w:rsid w:val="00216DA9"/>
    <w:rsid w:val="002607A0"/>
    <w:rsid w:val="00285C92"/>
    <w:rsid w:val="0029299D"/>
    <w:rsid w:val="002D6A33"/>
    <w:rsid w:val="00325E19"/>
    <w:rsid w:val="00340F68"/>
    <w:rsid w:val="003565C7"/>
    <w:rsid w:val="0037280F"/>
    <w:rsid w:val="00372A04"/>
    <w:rsid w:val="00372D92"/>
    <w:rsid w:val="00387356"/>
    <w:rsid w:val="003B430E"/>
    <w:rsid w:val="003C0B37"/>
    <w:rsid w:val="003E6414"/>
    <w:rsid w:val="003E7B3F"/>
    <w:rsid w:val="00414B64"/>
    <w:rsid w:val="00443363"/>
    <w:rsid w:val="00455687"/>
    <w:rsid w:val="00491B60"/>
    <w:rsid w:val="00492C9D"/>
    <w:rsid w:val="004A6703"/>
    <w:rsid w:val="00513DC6"/>
    <w:rsid w:val="00517298"/>
    <w:rsid w:val="0059043F"/>
    <w:rsid w:val="005E6133"/>
    <w:rsid w:val="00600BEC"/>
    <w:rsid w:val="00625B6C"/>
    <w:rsid w:val="00630682"/>
    <w:rsid w:val="00630A01"/>
    <w:rsid w:val="00632439"/>
    <w:rsid w:val="006366B7"/>
    <w:rsid w:val="0065011D"/>
    <w:rsid w:val="00685194"/>
    <w:rsid w:val="007010C6"/>
    <w:rsid w:val="007D32A9"/>
    <w:rsid w:val="007E73D5"/>
    <w:rsid w:val="007F0CC7"/>
    <w:rsid w:val="007F6C9F"/>
    <w:rsid w:val="00815934"/>
    <w:rsid w:val="0082492D"/>
    <w:rsid w:val="00837A78"/>
    <w:rsid w:val="008450EF"/>
    <w:rsid w:val="00874185"/>
    <w:rsid w:val="008A28D7"/>
    <w:rsid w:val="008A7892"/>
    <w:rsid w:val="008B5E43"/>
    <w:rsid w:val="008C14EB"/>
    <w:rsid w:val="008D26A0"/>
    <w:rsid w:val="0090395F"/>
    <w:rsid w:val="00916D2C"/>
    <w:rsid w:val="00983C50"/>
    <w:rsid w:val="00987269"/>
    <w:rsid w:val="009D1EC3"/>
    <w:rsid w:val="00A366BB"/>
    <w:rsid w:val="00A46385"/>
    <w:rsid w:val="00A6667F"/>
    <w:rsid w:val="00A72FC3"/>
    <w:rsid w:val="00A761B2"/>
    <w:rsid w:val="00A91144"/>
    <w:rsid w:val="00AA7EC1"/>
    <w:rsid w:val="00AD38D3"/>
    <w:rsid w:val="00B022E4"/>
    <w:rsid w:val="00B0456D"/>
    <w:rsid w:val="00B055A3"/>
    <w:rsid w:val="00B11A50"/>
    <w:rsid w:val="00B15033"/>
    <w:rsid w:val="00B51A09"/>
    <w:rsid w:val="00B5433A"/>
    <w:rsid w:val="00B57DB0"/>
    <w:rsid w:val="00B85C16"/>
    <w:rsid w:val="00B94DE8"/>
    <w:rsid w:val="00BD4B03"/>
    <w:rsid w:val="00BE3E19"/>
    <w:rsid w:val="00BF265D"/>
    <w:rsid w:val="00C06E1D"/>
    <w:rsid w:val="00C26686"/>
    <w:rsid w:val="00C41177"/>
    <w:rsid w:val="00C56272"/>
    <w:rsid w:val="00CA3025"/>
    <w:rsid w:val="00CC37E1"/>
    <w:rsid w:val="00CF5E04"/>
    <w:rsid w:val="00D05ABE"/>
    <w:rsid w:val="00D3566E"/>
    <w:rsid w:val="00D44D2F"/>
    <w:rsid w:val="00DA59CC"/>
    <w:rsid w:val="00DE6871"/>
    <w:rsid w:val="00DF5A4E"/>
    <w:rsid w:val="00E11B6D"/>
    <w:rsid w:val="00E2551A"/>
    <w:rsid w:val="00E305B8"/>
    <w:rsid w:val="00E427B2"/>
    <w:rsid w:val="00E80FE8"/>
    <w:rsid w:val="00E83B4C"/>
    <w:rsid w:val="00EB4F38"/>
    <w:rsid w:val="00ED4680"/>
    <w:rsid w:val="00EF0E64"/>
    <w:rsid w:val="00F01998"/>
    <w:rsid w:val="00F45163"/>
    <w:rsid w:val="00F5073A"/>
    <w:rsid w:val="00FB317C"/>
    <w:rsid w:val="00FB5EC8"/>
    <w:rsid w:val="00FC6294"/>
    <w:rsid w:val="00FE4CFE"/>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6E1D"/>
    <w:rPr>
      <w:color w:val="0000FF" w:themeColor="hyperlink"/>
      <w:u w:val="single"/>
    </w:rPr>
  </w:style>
  <w:style w:type="character" w:customStyle="1" w:styleId="cit">
    <w:name w:val="cit"/>
    <w:basedOn w:val="Fuentedeprrafopredeter"/>
    <w:rsid w:val="0037280F"/>
  </w:style>
  <w:style w:type="paragraph" w:customStyle="1" w:styleId="Default">
    <w:name w:val="Default"/>
    <w:rsid w:val="00DA59C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815934"/>
    <w:pPr>
      <w:ind w:left="720"/>
      <w:contextualSpacing/>
    </w:pPr>
  </w:style>
  <w:style w:type="character" w:styleId="Hipervnculovisitado">
    <w:name w:val="FollowedHyperlink"/>
    <w:basedOn w:val="Fuentedeprrafopredeter"/>
    <w:uiPriority w:val="99"/>
    <w:semiHidden/>
    <w:unhideWhenUsed/>
    <w:rsid w:val="00A366BB"/>
    <w:rPr>
      <w:color w:val="800080" w:themeColor="followedHyperlink"/>
      <w:u w:val="single"/>
    </w:rPr>
  </w:style>
  <w:style w:type="paragraph" w:styleId="NormalWeb">
    <w:name w:val="Normal (Web)"/>
    <w:basedOn w:val="Normal"/>
    <w:uiPriority w:val="99"/>
    <w:unhideWhenUsed/>
    <w:rsid w:val="00B5433A"/>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tituloiniciativa5">
    <w:name w:val="titulo_iniciativa5"/>
    <w:basedOn w:val="Normal"/>
    <w:rsid w:val="00B5433A"/>
    <w:pPr>
      <w:spacing w:after="0" w:line="240" w:lineRule="auto"/>
    </w:pPr>
    <w:rPr>
      <w:rFonts w:ascii="Times New Roman" w:eastAsia="Times New Roman" w:hAnsi="Times New Roman" w:cs="Times New Roman"/>
      <w:b/>
      <w:bCs/>
      <w:color w:val="626469"/>
      <w:sz w:val="16"/>
      <w:szCs w:val="16"/>
      <w:lang w:eastAsia="es-ES"/>
    </w:rPr>
  </w:style>
  <w:style w:type="character" w:styleId="Textoennegrita">
    <w:name w:val="Strong"/>
    <w:basedOn w:val="Fuentedeprrafopredeter"/>
    <w:uiPriority w:val="22"/>
    <w:qFormat/>
    <w:rsid w:val="00B5433A"/>
    <w:rPr>
      <w:b/>
      <w:bCs/>
    </w:rPr>
  </w:style>
  <w:style w:type="character" w:customStyle="1" w:styleId="element-citation">
    <w:name w:val="element-citation"/>
    <w:basedOn w:val="Fuentedeprrafopredeter"/>
    <w:rsid w:val="00BE3E19"/>
  </w:style>
  <w:style w:type="character" w:customStyle="1" w:styleId="ref-journal">
    <w:name w:val="ref-journal"/>
    <w:basedOn w:val="Fuentedeprrafopredeter"/>
    <w:rsid w:val="00BE3E19"/>
  </w:style>
  <w:style w:type="character" w:customStyle="1" w:styleId="ref-vol">
    <w:name w:val="ref-vol"/>
    <w:basedOn w:val="Fuentedeprrafopredeter"/>
    <w:rsid w:val="00BE3E19"/>
  </w:style>
  <w:style w:type="character" w:styleId="nfasis">
    <w:name w:val="Emphasis"/>
    <w:basedOn w:val="Fuentedeprrafopredeter"/>
    <w:uiPriority w:val="20"/>
    <w:qFormat/>
    <w:rsid w:val="00E80FE8"/>
    <w:rPr>
      <w:b/>
      <w:bCs/>
      <w:i w:val="0"/>
      <w:iCs w:val="0"/>
    </w:rPr>
  </w:style>
  <w:style w:type="character" w:customStyle="1" w:styleId="st1">
    <w:name w:val="st1"/>
    <w:basedOn w:val="Fuentedeprrafopredeter"/>
    <w:rsid w:val="00E80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723460">
      <w:bodyDiv w:val="1"/>
      <w:marLeft w:val="0"/>
      <w:marRight w:val="0"/>
      <w:marTop w:val="0"/>
      <w:marBottom w:val="0"/>
      <w:divBdr>
        <w:top w:val="none" w:sz="0" w:space="0" w:color="auto"/>
        <w:left w:val="none" w:sz="0" w:space="0" w:color="auto"/>
        <w:bottom w:val="none" w:sz="0" w:space="0" w:color="auto"/>
        <w:right w:val="none" w:sz="0" w:space="0" w:color="auto"/>
      </w:divBdr>
      <w:divsChild>
        <w:div w:id="969359134">
          <w:marLeft w:val="547"/>
          <w:marRight w:val="0"/>
          <w:marTop w:val="154"/>
          <w:marBottom w:val="0"/>
          <w:divBdr>
            <w:top w:val="none" w:sz="0" w:space="0" w:color="auto"/>
            <w:left w:val="none" w:sz="0" w:space="0" w:color="auto"/>
            <w:bottom w:val="none" w:sz="0" w:space="0" w:color="auto"/>
            <w:right w:val="none" w:sz="0" w:space="0" w:color="auto"/>
          </w:divBdr>
        </w:div>
        <w:div w:id="1794135820">
          <w:marLeft w:val="547"/>
          <w:marRight w:val="0"/>
          <w:marTop w:val="154"/>
          <w:marBottom w:val="0"/>
          <w:divBdr>
            <w:top w:val="none" w:sz="0" w:space="0" w:color="auto"/>
            <w:left w:val="none" w:sz="0" w:space="0" w:color="auto"/>
            <w:bottom w:val="none" w:sz="0" w:space="0" w:color="auto"/>
            <w:right w:val="none" w:sz="0" w:space="0" w:color="auto"/>
          </w:divBdr>
        </w:div>
        <w:div w:id="2056923134">
          <w:marLeft w:val="547"/>
          <w:marRight w:val="0"/>
          <w:marTop w:val="154"/>
          <w:marBottom w:val="0"/>
          <w:divBdr>
            <w:top w:val="none" w:sz="0" w:space="0" w:color="auto"/>
            <w:left w:val="none" w:sz="0" w:space="0" w:color="auto"/>
            <w:bottom w:val="none" w:sz="0" w:space="0" w:color="auto"/>
            <w:right w:val="none" w:sz="0" w:space="0" w:color="auto"/>
          </w:divBdr>
        </w:div>
        <w:div w:id="1044792129">
          <w:marLeft w:val="547"/>
          <w:marRight w:val="0"/>
          <w:marTop w:val="154"/>
          <w:marBottom w:val="0"/>
          <w:divBdr>
            <w:top w:val="none" w:sz="0" w:space="0" w:color="auto"/>
            <w:left w:val="none" w:sz="0" w:space="0" w:color="auto"/>
            <w:bottom w:val="none" w:sz="0" w:space="0" w:color="auto"/>
            <w:right w:val="none" w:sz="0" w:space="0" w:color="auto"/>
          </w:divBdr>
        </w:div>
      </w:divsChild>
    </w:div>
    <w:div w:id="1858470494">
      <w:bodyDiv w:val="1"/>
      <w:marLeft w:val="0"/>
      <w:marRight w:val="0"/>
      <w:marTop w:val="0"/>
      <w:marBottom w:val="0"/>
      <w:divBdr>
        <w:top w:val="none" w:sz="0" w:space="0" w:color="auto"/>
        <w:left w:val="none" w:sz="0" w:space="0" w:color="auto"/>
        <w:bottom w:val="none" w:sz="0" w:space="0" w:color="auto"/>
        <w:right w:val="none" w:sz="0" w:space="0" w:color="auto"/>
      </w:divBdr>
      <w:divsChild>
        <w:div w:id="1715544740">
          <w:marLeft w:val="225"/>
          <w:marRight w:val="0"/>
          <w:marTop w:val="75"/>
          <w:marBottom w:val="0"/>
          <w:divBdr>
            <w:top w:val="none" w:sz="0" w:space="0" w:color="auto"/>
            <w:left w:val="none" w:sz="0" w:space="0" w:color="auto"/>
            <w:bottom w:val="none" w:sz="0" w:space="0" w:color="auto"/>
            <w:right w:val="none" w:sz="0" w:space="0" w:color="auto"/>
          </w:divBdr>
          <w:divsChild>
            <w:div w:id="2005551493">
              <w:marLeft w:val="0"/>
              <w:marRight w:val="0"/>
              <w:marTop w:val="150"/>
              <w:marBottom w:val="0"/>
              <w:divBdr>
                <w:top w:val="none" w:sz="0" w:space="0" w:color="auto"/>
                <w:left w:val="none" w:sz="0" w:space="0" w:color="auto"/>
                <w:bottom w:val="none" w:sz="0" w:space="0" w:color="auto"/>
                <w:right w:val="none" w:sz="0" w:space="0" w:color="auto"/>
              </w:divBdr>
            </w:div>
            <w:div w:id="432865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7-425" TargetMode="External"/><Relationship Id="rId13" Type="http://schemas.openxmlformats.org/officeDocument/2006/relationships/hyperlink" Target="https://www.carstens-stiftung.de/databas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caments.gencat.cat/ca/professionals/seguretat/fitxesseguretat/" TargetMode="External"/><Relationship Id="rId12" Type="http://schemas.openxmlformats.org/officeDocument/2006/relationships/hyperlink" Target="https://www.ccrhindia.nic.in//admnis/admin/showimg.aspx?ID=9497" TargetMode="External"/><Relationship Id="rId17" Type="http://schemas.openxmlformats.org/officeDocument/2006/relationships/hyperlink" Target="https://www.sefac.org/sites/default/files/2017-11/Adherencia_0.pdf" TargetMode="External"/><Relationship Id="rId2" Type="http://schemas.openxmlformats.org/officeDocument/2006/relationships/styles" Target="styles.xml"/><Relationship Id="rId16" Type="http://schemas.openxmlformats.org/officeDocument/2006/relationships/hyperlink" Target="https://ec.europa.eu/health/sites/health/files/systems_performance_assessment/docs/2016_costs_psp_en.pdf"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giri-society.org/" TargetMode="External"/><Relationship Id="rId11" Type="http://schemas.openxmlformats.org/officeDocument/2006/relationships/hyperlink" Target="http://revista.aph.org.br/index.php/aph/article/view/412/504" TargetMode="External"/><Relationship Id="rId5" Type="http://schemas.openxmlformats.org/officeDocument/2006/relationships/hyperlink" Target="http://www.europarl.europa.eu/plenary/es/parliamentary-questions.html" TargetMode="External"/><Relationship Id="rId15" Type="http://schemas.openxmlformats.org/officeDocument/2006/relationships/hyperlink" Target="http://pubs.acs.org/doi/abs/10.1021/la303477s" TargetMode="External"/><Relationship Id="rId10" Type="http://schemas.openxmlformats.org/officeDocument/2006/relationships/hyperlink" Target="http://www.lmhi.org/downloads/nvp/LMHI%20Sc%20framework%202016-mod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mhi.org/downloads/nvp/Supplement_2017_Nov.pdf" TargetMode="External"/><Relationship Id="rId14" Type="http://schemas.openxmlformats.org/officeDocument/2006/relationships/hyperlink" Target="https://www.ncbi.nlm.nih.gov/pubmed/295498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4694</Words>
  <Characters>25823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2019-02-28T17:43:00Z</dcterms:created>
  <dcterms:modified xsi:type="dcterms:W3CDTF">2019-03-26T18:08:00Z</dcterms:modified>
</cp:coreProperties>
</file>